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7775F" w14:textId="450CCBDC" w:rsidR="0041017A" w:rsidRPr="00E31474" w:rsidRDefault="006E26A2" w:rsidP="006C1E21">
      <w:pPr>
        <w:pStyle w:val="Heading1"/>
        <w:spacing w:before="0" w:after="0" w:line="240" w:lineRule="auto"/>
        <w:jc w:val="center"/>
        <w:rPr>
          <w:b/>
          <w:sz w:val="22"/>
          <w:szCs w:val="22"/>
        </w:rPr>
      </w:pPr>
      <w:r>
        <w:rPr>
          <w:b/>
          <w:sz w:val="22"/>
          <w:szCs w:val="22"/>
        </w:rPr>
        <w:t xml:space="preserve">Ipsen annonce l’arrivée sur le marché d’un nouveau système d’administration entièrement repensé pour </w:t>
      </w:r>
      <w:proofErr w:type="spellStart"/>
      <w:r>
        <w:rPr>
          <w:b/>
          <w:sz w:val="22"/>
          <w:szCs w:val="22"/>
        </w:rPr>
        <w:t>Somatuline</w:t>
      </w:r>
      <w:r>
        <w:rPr>
          <w:b/>
          <w:sz w:val="22"/>
          <w:szCs w:val="22"/>
          <w:vertAlign w:val="superscript"/>
        </w:rPr>
        <w:t>MD</w:t>
      </w:r>
      <w:proofErr w:type="spellEnd"/>
      <w:r>
        <w:rPr>
          <w:b/>
          <w:sz w:val="22"/>
          <w:szCs w:val="22"/>
        </w:rPr>
        <w:t xml:space="preserve"> </w:t>
      </w:r>
      <w:proofErr w:type="spellStart"/>
      <w:r>
        <w:rPr>
          <w:b/>
          <w:sz w:val="22"/>
          <w:szCs w:val="22"/>
        </w:rPr>
        <w:t>Autogel</w:t>
      </w:r>
      <w:r>
        <w:rPr>
          <w:b/>
          <w:sz w:val="22"/>
          <w:szCs w:val="22"/>
          <w:vertAlign w:val="superscript"/>
        </w:rPr>
        <w:t>MD</w:t>
      </w:r>
      <w:proofErr w:type="spellEnd"/>
      <w:r>
        <w:rPr>
          <w:b/>
          <w:sz w:val="22"/>
          <w:szCs w:val="22"/>
        </w:rPr>
        <w:t xml:space="preserve"> (</w:t>
      </w:r>
      <w:proofErr w:type="spellStart"/>
      <w:r>
        <w:rPr>
          <w:b/>
          <w:sz w:val="22"/>
          <w:szCs w:val="22"/>
        </w:rPr>
        <w:t>lanréotide</w:t>
      </w:r>
      <w:proofErr w:type="spellEnd"/>
      <w:r>
        <w:rPr>
          <w:b/>
          <w:sz w:val="22"/>
          <w:szCs w:val="22"/>
        </w:rPr>
        <w:t xml:space="preserve"> injectable)</w:t>
      </w:r>
      <w:r>
        <w:rPr>
          <w:noProof/>
        </w:rPr>
        <w:drawing>
          <wp:anchor distT="114300" distB="114300" distL="114300" distR="114300" simplePos="0" relativeHeight="251659264" behindDoc="0" locked="0" layoutInCell="1" hidden="0" allowOverlap="1" wp14:anchorId="1764F7BF" wp14:editId="17810C24">
            <wp:simplePos x="0" y="0"/>
            <wp:positionH relativeFrom="margin">
              <wp:posOffset>-227965</wp:posOffset>
            </wp:positionH>
            <wp:positionV relativeFrom="paragraph">
              <wp:posOffset>-816610</wp:posOffset>
            </wp:positionV>
            <wp:extent cx="1847850" cy="628650"/>
            <wp:effectExtent l="0" t="0" r="0" b="0"/>
            <wp:wrapTopAndBottom distT="114300" distB="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847850" cy="628650"/>
                    </a:xfrm>
                    <a:prstGeom prst="rect">
                      <a:avLst/>
                    </a:prstGeom>
                    <a:ln/>
                  </pic:spPr>
                </pic:pic>
              </a:graphicData>
            </a:graphic>
          </wp:anchor>
        </w:drawing>
      </w:r>
      <w:r>
        <w:rPr>
          <w:b/>
          <w:sz w:val="22"/>
          <w:szCs w:val="22"/>
        </w:rPr>
        <w:t xml:space="preserve"> </w:t>
      </w:r>
    </w:p>
    <w:p w14:paraId="7C1672D8" w14:textId="77777777" w:rsidR="00831A71" w:rsidRPr="00E31474" w:rsidRDefault="00831A71" w:rsidP="00FC2E35">
      <w:pPr>
        <w:spacing w:line="240" w:lineRule="auto"/>
        <w:contextualSpacing w:val="0"/>
        <w:rPr>
          <w:i/>
        </w:rPr>
      </w:pPr>
    </w:p>
    <w:p w14:paraId="1F53FCD9" w14:textId="6ACADEEA" w:rsidR="00503805" w:rsidRPr="00E31474" w:rsidRDefault="002511F0" w:rsidP="00FC2E35">
      <w:pPr>
        <w:pStyle w:val="NoSpacing"/>
        <w:rPr>
          <w:rFonts w:ascii="Arial" w:eastAsia="Times New Roman" w:hAnsi="Arial" w:cs="Arial"/>
        </w:rPr>
      </w:pPr>
      <w:r>
        <w:rPr>
          <w:rFonts w:ascii="Arial" w:hAnsi="Arial"/>
          <w:b/>
        </w:rPr>
        <w:t xml:space="preserve">Mississauga, ON – Du </w:t>
      </w:r>
      <w:r w:rsidR="005B58CA">
        <w:rPr>
          <w:rFonts w:ascii="Arial" w:hAnsi="Arial"/>
          <w:b/>
        </w:rPr>
        <w:t>7</w:t>
      </w:r>
      <w:bookmarkStart w:id="0" w:name="_GoBack"/>
      <w:bookmarkEnd w:id="0"/>
      <w:r>
        <w:rPr>
          <w:rFonts w:ascii="Arial" w:hAnsi="Arial"/>
          <w:b/>
        </w:rPr>
        <w:t> janvier 2020</w:t>
      </w:r>
      <w:r>
        <w:rPr>
          <w:rFonts w:ascii="Arial" w:hAnsi="Arial"/>
        </w:rPr>
        <w:t xml:space="preserve"> – Ipsen </w:t>
      </w:r>
      <w:proofErr w:type="spellStart"/>
      <w:r>
        <w:rPr>
          <w:rFonts w:ascii="Arial" w:hAnsi="Arial"/>
        </w:rPr>
        <w:t>Biopharmaceuticals</w:t>
      </w:r>
      <w:proofErr w:type="spellEnd"/>
      <w:r>
        <w:rPr>
          <w:rFonts w:ascii="Arial" w:hAnsi="Arial"/>
        </w:rPr>
        <w:t xml:space="preserve"> Canada Inc. a annoncé aujourd’hui l’arrivée sur le marché d’un nouveau système d’administration pour </w:t>
      </w:r>
      <w:proofErr w:type="spellStart"/>
      <w:r>
        <w:rPr>
          <w:rFonts w:ascii="Arial" w:hAnsi="Arial"/>
        </w:rPr>
        <w:t>Somatuline</w:t>
      </w:r>
      <w:r>
        <w:rPr>
          <w:rFonts w:ascii="Arial" w:hAnsi="Arial"/>
          <w:vertAlign w:val="superscript"/>
        </w:rPr>
        <w:t>MD</w:t>
      </w:r>
      <w:proofErr w:type="spellEnd"/>
      <w:r>
        <w:rPr>
          <w:rFonts w:ascii="Arial" w:hAnsi="Arial"/>
        </w:rPr>
        <w:t xml:space="preserve"> </w:t>
      </w:r>
      <w:proofErr w:type="spellStart"/>
      <w:r>
        <w:rPr>
          <w:rFonts w:ascii="Arial" w:hAnsi="Arial"/>
        </w:rPr>
        <w:t>Autogel</w:t>
      </w:r>
      <w:r>
        <w:rPr>
          <w:rFonts w:ascii="Arial" w:hAnsi="Arial"/>
          <w:vertAlign w:val="superscript"/>
        </w:rPr>
        <w:t>MD</w:t>
      </w:r>
      <w:proofErr w:type="spellEnd"/>
      <w:r>
        <w:rPr>
          <w:rFonts w:ascii="Arial" w:hAnsi="Arial"/>
        </w:rPr>
        <w:t xml:space="preserve"> (</w:t>
      </w:r>
      <w:proofErr w:type="spellStart"/>
      <w:r>
        <w:rPr>
          <w:rFonts w:ascii="Arial" w:hAnsi="Arial"/>
        </w:rPr>
        <w:t>lanréotide</w:t>
      </w:r>
      <w:proofErr w:type="spellEnd"/>
      <w:r>
        <w:rPr>
          <w:rFonts w:ascii="Arial" w:hAnsi="Arial"/>
        </w:rPr>
        <w:t xml:space="preserve"> injectable) 60, 90 et 120 mg. La nouvelle seringue préremplie, qui est maintenant offerte aux patients canadiens, présente des caractéristiques améliorées conçues pour faciliter l’injection par les patients et les professionnels de la santé. </w:t>
      </w:r>
      <w:proofErr w:type="spellStart"/>
      <w:r>
        <w:rPr>
          <w:rFonts w:ascii="Arial" w:hAnsi="Arial"/>
        </w:rPr>
        <w:t>Somatuline</w:t>
      </w:r>
      <w:r>
        <w:rPr>
          <w:rFonts w:ascii="Arial" w:hAnsi="Arial"/>
          <w:vertAlign w:val="superscript"/>
        </w:rPr>
        <w:t>MD</w:t>
      </w:r>
      <w:proofErr w:type="spellEnd"/>
      <w:r>
        <w:rPr>
          <w:rFonts w:ascii="Arial" w:hAnsi="Arial"/>
        </w:rPr>
        <w:t xml:space="preserve"> </w:t>
      </w:r>
      <w:proofErr w:type="spellStart"/>
      <w:r>
        <w:rPr>
          <w:rFonts w:ascii="Arial" w:hAnsi="Arial"/>
        </w:rPr>
        <w:t>Autogel</w:t>
      </w:r>
      <w:r>
        <w:rPr>
          <w:rFonts w:ascii="Arial" w:hAnsi="Arial"/>
          <w:vertAlign w:val="superscript"/>
        </w:rPr>
        <w:t>MD</w:t>
      </w:r>
      <w:proofErr w:type="spellEnd"/>
      <w:r>
        <w:rPr>
          <w:rFonts w:ascii="Arial" w:hAnsi="Arial"/>
        </w:rPr>
        <w:t xml:space="preserve"> (</w:t>
      </w:r>
      <w:proofErr w:type="spellStart"/>
      <w:r>
        <w:rPr>
          <w:rFonts w:ascii="Arial" w:hAnsi="Arial"/>
        </w:rPr>
        <w:t>lanréotide</w:t>
      </w:r>
      <w:proofErr w:type="spellEnd"/>
      <w:r>
        <w:rPr>
          <w:rFonts w:ascii="Arial" w:hAnsi="Arial"/>
        </w:rPr>
        <w:t xml:space="preserve"> injectable) est approuvé pour le traitement des tumeurs neuroendocrines gastro-entéro-pancréatiques (TNE-GEP) chez les adultes atteints d’une maladie localement avancée ou métastatique non résécable de grade 1 ou d’un sous-groupe du grade 2 (équivalent à un indice Ki67 &lt; 10 %), afin d’en retarder la progression</w:t>
      </w:r>
      <w:r w:rsidR="007D5DCF" w:rsidRPr="00E31474">
        <w:rPr>
          <w:rFonts w:ascii="Arial" w:eastAsia="Times New Roman" w:hAnsi="Arial" w:cs="Arial"/>
          <w:vertAlign w:val="superscript"/>
          <w:lang w:val="en-CA" w:eastAsia="en-CA"/>
        </w:rPr>
        <w:endnoteReference w:id="1"/>
      </w:r>
      <w:r>
        <w:rPr>
          <w:rFonts w:ascii="Arial" w:hAnsi="Arial"/>
        </w:rPr>
        <w:t>;</w:t>
      </w:r>
      <w:r>
        <w:rPr>
          <w:rFonts w:ascii="Arial" w:hAnsi="Arial"/>
          <w:vertAlign w:val="superscript"/>
        </w:rPr>
        <w:t xml:space="preserve"> </w:t>
      </w:r>
      <w:r>
        <w:rPr>
          <w:rFonts w:ascii="Arial" w:hAnsi="Arial"/>
        </w:rPr>
        <w:t>pour le traitement du syndrome carcinoïde chez l’adulte; et pour le traitement à long terme de l’acromégalie causée par une tumeur hypophysaire chez les patients qui n’ont pas bien répondu à la chirurgie ou à la radiothérapie ou chez qui ces traitements ne peuvent être envisagés</w:t>
      </w:r>
      <w:r w:rsidR="003E6EE8" w:rsidRPr="00E31474">
        <w:rPr>
          <w:rFonts w:ascii="Arial" w:eastAsia="Times New Roman" w:hAnsi="Arial" w:cs="Arial"/>
          <w:vertAlign w:val="superscript"/>
        </w:rPr>
        <w:endnoteReference w:id="2"/>
      </w:r>
      <w:r>
        <w:rPr>
          <w:rFonts w:ascii="Arial" w:hAnsi="Arial"/>
        </w:rPr>
        <w:t>.</w:t>
      </w:r>
      <w:r>
        <w:rPr>
          <w:rFonts w:ascii="Arial" w:hAnsi="Arial"/>
          <w:vertAlign w:val="superscript"/>
        </w:rPr>
        <w:t xml:space="preserve"> </w:t>
      </w:r>
    </w:p>
    <w:p w14:paraId="500DBFFD" w14:textId="77777777" w:rsidR="006E319F" w:rsidRPr="00E31474" w:rsidRDefault="006E319F" w:rsidP="00FC2E35">
      <w:pPr>
        <w:pStyle w:val="NormalWeb"/>
        <w:shd w:val="clear" w:color="auto" w:fill="FEFEFE"/>
        <w:spacing w:before="0" w:beforeAutospacing="0" w:after="0" w:afterAutospacing="0"/>
        <w:rPr>
          <w:rFonts w:ascii="Arial" w:hAnsi="Arial" w:cs="Arial"/>
          <w:sz w:val="22"/>
          <w:szCs w:val="22"/>
          <w:lang w:val="en-US"/>
        </w:rPr>
      </w:pPr>
    </w:p>
    <w:p w14:paraId="02197D54" w14:textId="0535040C" w:rsidR="00093ED3" w:rsidRPr="00E31474" w:rsidRDefault="00093ED3" w:rsidP="00093ED3">
      <w:pPr>
        <w:pStyle w:val="NormalWeb"/>
        <w:shd w:val="clear" w:color="auto" w:fill="FEFEFE"/>
        <w:spacing w:before="0" w:beforeAutospacing="0" w:after="0" w:afterAutospacing="0"/>
        <w:rPr>
          <w:rFonts w:ascii="Arial" w:hAnsi="Arial" w:cs="Arial"/>
          <w:sz w:val="22"/>
          <w:szCs w:val="22"/>
        </w:rPr>
      </w:pPr>
      <w:r>
        <w:rPr>
          <w:rFonts w:ascii="Arial" w:hAnsi="Arial"/>
          <w:sz w:val="22"/>
          <w:szCs w:val="22"/>
        </w:rPr>
        <w:t>« Nous cherchons constamment des moyens de mieux servir nos patients. La conception du nouveau système d’administration a été rendue possible grâce à la collaboration des infirmières, avec qui nous travaillons tous les jours, et de leurs patients, confie</w:t>
      </w:r>
      <w:r>
        <w:rPr>
          <w:rFonts w:ascii="Arial" w:hAnsi="Arial"/>
          <w:b/>
          <w:bCs/>
          <w:sz w:val="22"/>
          <w:szCs w:val="22"/>
        </w:rPr>
        <w:t xml:space="preserve"> </w:t>
      </w:r>
      <w:r>
        <w:rPr>
          <w:rFonts w:ascii="Arial" w:hAnsi="Arial"/>
          <w:sz w:val="22"/>
          <w:szCs w:val="22"/>
        </w:rPr>
        <w:t>Ed </w:t>
      </w:r>
      <w:proofErr w:type="spellStart"/>
      <w:r>
        <w:rPr>
          <w:rFonts w:ascii="Arial" w:hAnsi="Arial"/>
          <w:sz w:val="22"/>
          <w:szCs w:val="22"/>
        </w:rPr>
        <w:t>Dybka</w:t>
      </w:r>
      <w:proofErr w:type="spellEnd"/>
      <w:r>
        <w:rPr>
          <w:rFonts w:ascii="Arial" w:hAnsi="Arial"/>
          <w:sz w:val="22"/>
          <w:szCs w:val="22"/>
        </w:rPr>
        <w:t>, directeur général d’Ipsen Canada.</w:t>
      </w:r>
      <w:r>
        <w:rPr>
          <w:rFonts w:ascii="Arial" w:hAnsi="Arial"/>
          <w:b/>
          <w:bCs/>
          <w:sz w:val="22"/>
          <w:szCs w:val="22"/>
        </w:rPr>
        <w:t xml:space="preserve"> </w:t>
      </w:r>
      <w:r>
        <w:rPr>
          <w:rFonts w:ascii="Arial" w:hAnsi="Arial"/>
          <w:sz w:val="22"/>
          <w:szCs w:val="22"/>
        </w:rPr>
        <w:t xml:space="preserve">Nous les avons écoutés attentivement parce que nous voulions développer une seringue préremplie robuste et facile à utiliser, afin d’améliorer le processus d’injection, et nous nous réjouissons à l’idée que notre innovation puisse faciliter le </w:t>
      </w:r>
      <w:proofErr w:type="gramStart"/>
      <w:r>
        <w:rPr>
          <w:rFonts w:ascii="Arial" w:hAnsi="Arial"/>
          <w:sz w:val="22"/>
          <w:szCs w:val="22"/>
        </w:rPr>
        <w:t>traitement</w:t>
      </w:r>
      <w:proofErr w:type="gramEnd"/>
      <w:r>
        <w:rPr>
          <w:rFonts w:ascii="Arial" w:hAnsi="Arial"/>
          <w:sz w:val="22"/>
          <w:szCs w:val="22"/>
        </w:rPr>
        <w:t xml:space="preserve"> des patients canadiens. » </w:t>
      </w:r>
    </w:p>
    <w:p w14:paraId="70C37214" w14:textId="77777777" w:rsidR="00093ED3" w:rsidRPr="00E31474" w:rsidRDefault="00093ED3" w:rsidP="00946608">
      <w:pPr>
        <w:pStyle w:val="NormalWeb"/>
        <w:shd w:val="clear" w:color="auto" w:fill="FEFEFE"/>
        <w:spacing w:before="0" w:beforeAutospacing="0" w:after="0" w:afterAutospacing="0"/>
        <w:rPr>
          <w:rFonts w:ascii="Arial" w:hAnsi="Arial" w:cs="Arial"/>
          <w:sz w:val="22"/>
          <w:szCs w:val="22"/>
        </w:rPr>
      </w:pPr>
    </w:p>
    <w:p w14:paraId="50323003" w14:textId="386811A0" w:rsidR="0031442F" w:rsidRPr="00E31474" w:rsidRDefault="009142F3" w:rsidP="00946608">
      <w:pPr>
        <w:pStyle w:val="NormalWeb"/>
        <w:shd w:val="clear" w:color="auto" w:fill="FEFEFE"/>
        <w:spacing w:before="0" w:beforeAutospacing="0" w:after="0" w:afterAutospacing="0"/>
        <w:rPr>
          <w:rFonts w:ascii="Arial" w:hAnsi="Arial" w:cs="Arial"/>
          <w:sz w:val="22"/>
          <w:szCs w:val="22"/>
        </w:rPr>
      </w:pPr>
      <w:r>
        <w:rPr>
          <w:rFonts w:ascii="Arial" w:hAnsi="Arial"/>
          <w:sz w:val="22"/>
          <w:szCs w:val="22"/>
        </w:rPr>
        <w:t>La nouvelle seringue préremplie est équipée d’un système de retrait du protecteur d’aiguille, d’un piston renforcé et d’un plateau thermoformé, ainsi que d’une large collerette courbée et rainurée conçue pour des mains de toutes tailles. La seringue préremplie est toujours munie d’un système de sécurité qui peut contribuer à prévenir les blessures accidentelles dues à l’aiguille en la bloquant dans un étui protecteur après l’administration.</w:t>
      </w:r>
    </w:p>
    <w:p w14:paraId="21A9C536" w14:textId="2FFFB888" w:rsidR="00397003" w:rsidRPr="00E31474" w:rsidRDefault="00397003" w:rsidP="00397003">
      <w:pPr>
        <w:pStyle w:val="NormalWeb"/>
        <w:shd w:val="clear" w:color="auto" w:fill="FEFEFE"/>
        <w:spacing w:before="0" w:beforeAutospacing="0" w:after="0" w:afterAutospacing="0"/>
        <w:rPr>
          <w:rFonts w:ascii="Arial" w:hAnsi="Arial" w:cs="Arial"/>
          <w:color w:val="FF0000"/>
          <w:sz w:val="22"/>
          <w:szCs w:val="22"/>
        </w:rPr>
      </w:pPr>
    </w:p>
    <w:p w14:paraId="799AFF73" w14:textId="6E6E2259" w:rsidR="00093ED3" w:rsidRPr="00E31474" w:rsidRDefault="00093ED3" w:rsidP="00093ED3">
      <w:pPr>
        <w:pStyle w:val="NormalWeb"/>
        <w:shd w:val="clear" w:color="auto" w:fill="FEFEFE"/>
        <w:spacing w:before="0" w:beforeAutospacing="0" w:after="0" w:afterAutospacing="0"/>
        <w:rPr>
          <w:rFonts w:ascii="Arial" w:hAnsi="Arial" w:cs="Arial"/>
          <w:sz w:val="22"/>
          <w:szCs w:val="22"/>
        </w:rPr>
      </w:pPr>
      <w:r>
        <w:rPr>
          <w:rFonts w:ascii="Arial" w:hAnsi="Arial"/>
          <w:sz w:val="22"/>
          <w:szCs w:val="22"/>
        </w:rPr>
        <w:t>« Nous travaillons tous les jours sur le terrain avec les patients, alors nous voyons ce qui fonctionne et ce qui ne fonctionne pas. Il était donc important, pour améliorer l’expérience globale des patients, de tenir compte de notre point de vue pour redessiner la seringue, explique Jennifer </w:t>
      </w:r>
      <w:proofErr w:type="spellStart"/>
      <w:r>
        <w:rPr>
          <w:rFonts w:ascii="Arial" w:hAnsi="Arial"/>
          <w:sz w:val="22"/>
          <w:szCs w:val="22"/>
        </w:rPr>
        <w:t>Petronis</w:t>
      </w:r>
      <w:proofErr w:type="spellEnd"/>
      <w:r>
        <w:rPr>
          <w:rFonts w:ascii="Arial" w:hAnsi="Arial"/>
          <w:sz w:val="22"/>
          <w:szCs w:val="22"/>
        </w:rPr>
        <w:t xml:space="preserve">, inf. </w:t>
      </w:r>
      <w:proofErr w:type="spellStart"/>
      <w:r>
        <w:rPr>
          <w:rFonts w:ascii="Arial" w:hAnsi="Arial"/>
          <w:sz w:val="22"/>
          <w:szCs w:val="22"/>
        </w:rPr>
        <w:t>aut</w:t>
      </w:r>
      <w:proofErr w:type="spellEnd"/>
      <w:r>
        <w:rPr>
          <w:rFonts w:ascii="Arial" w:hAnsi="Arial"/>
          <w:sz w:val="22"/>
          <w:szCs w:val="22"/>
        </w:rPr>
        <w:t xml:space="preserve">., Certifiée en soins infirmiers en oncologie CSIO(C), Soins ambulatoires. Les TNE-GEP et l’acromégalie sont deux maladies lourdes à porter. Ainsi, tout ce qui peut contribuer à améliorer l’expérience de traitement et à faciliter son administration constitue une bonne nouvelle. » </w:t>
      </w:r>
    </w:p>
    <w:p w14:paraId="740CB563" w14:textId="77777777" w:rsidR="004B0746" w:rsidRPr="00E31474" w:rsidRDefault="004B0746" w:rsidP="004B0746">
      <w:pPr>
        <w:rPr>
          <w:lang w:val="en-CA"/>
        </w:rPr>
      </w:pPr>
    </w:p>
    <w:p w14:paraId="42345D78" w14:textId="2E0E10F8" w:rsidR="004B0746" w:rsidRPr="00E31474" w:rsidRDefault="004B0746" w:rsidP="004B0746">
      <w:r>
        <w:t xml:space="preserve">« Nous saluons l’engagement qu’Ipsen a pris envers nos infirmières et nos patients dans le développement de cette innovation. Cela prouve que les besoins et le bien-être des patients est une priorité pour l’entreprise », déclarent Jackie Herman, patiente atteinte d’une TNE-GEP et présidente de la Société des tumeurs carcinoïdes-neuroendocrines du Canada (STCNE du Canada) et Peggy MacDonald, présidente d’Atlantic </w:t>
      </w:r>
      <w:proofErr w:type="spellStart"/>
      <w:r>
        <w:t>Acromegaly</w:t>
      </w:r>
      <w:proofErr w:type="spellEnd"/>
      <w:r>
        <w:t xml:space="preserve"> Support. </w:t>
      </w:r>
    </w:p>
    <w:p w14:paraId="7A486855" w14:textId="5DD65220" w:rsidR="0036092F" w:rsidRPr="00E31474" w:rsidRDefault="0036092F" w:rsidP="0036092F">
      <w:pPr>
        <w:spacing w:line="240" w:lineRule="auto"/>
        <w:rPr>
          <w:lang w:val="en-CA"/>
        </w:rPr>
      </w:pPr>
    </w:p>
    <w:p w14:paraId="370D40CE" w14:textId="19616655" w:rsidR="005C5D65" w:rsidRPr="00E31474" w:rsidRDefault="005C5D65" w:rsidP="005C5D65">
      <w:pPr>
        <w:spacing w:line="240" w:lineRule="auto"/>
        <w:contextualSpacing w:val="0"/>
        <w:rPr>
          <w:b/>
          <w:bCs/>
        </w:rPr>
      </w:pPr>
      <w:r>
        <w:rPr>
          <w:b/>
          <w:bCs/>
        </w:rPr>
        <w:t>Les tumeurs neuroendocrines gastro-entéro-pancréatiques (TNE-GEP) et le syndrome carcinoïde</w:t>
      </w:r>
    </w:p>
    <w:p w14:paraId="7A01D540" w14:textId="71AEB4DC" w:rsidR="00767B70" w:rsidRPr="00E31474" w:rsidRDefault="005C5D65" w:rsidP="00767B70">
      <w:pPr>
        <w:pStyle w:val="Body"/>
        <w:spacing w:line="276" w:lineRule="auto"/>
      </w:pPr>
      <w:r>
        <w:t xml:space="preserve">Les tumeurs neuroendocrines gastro-entéro-pancréatiques sont des excroissances qui se développent à partir de cellules neuroendocrines du tractus gastro-intestinal (intestins et appendice) ou du pancréas. L’apparition de symptômes est causée par la sécrétion excessive de certaines hormones par des tumeurs neuroendocrines, ce qui occasionne une « surcharge » </w:t>
      </w:r>
      <w:r>
        <w:lastRenderedPageBreak/>
        <w:t>du système</w:t>
      </w:r>
      <w:r w:rsidRPr="00E31474">
        <w:rPr>
          <w:rStyle w:val="EndnoteReference"/>
          <w:rFonts w:eastAsia="Times New Roman"/>
        </w:rPr>
        <w:endnoteReference w:id="3"/>
      </w:r>
      <w:r>
        <w:t>. Parmi les 12 000 à 15 000 Canadiens atteints de TNE-GEP, seulement 10 % ont reçu un diagnostic complet et exact</w:t>
      </w:r>
      <w:r w:rsidRPr="00E31474">
        <w:rPr>
          <w:rStyle w:val="EndnoteReference"/>
        </w:rPr>
        <w:endnoteReference w:id="4"/>
      </w:r>
      <w:r>
        <w:t xml:space="preserve">. </w:t>
      </w:r>
      <w:bookmarkStart w:id="1" w:name="_Hlk505347818"/>
    </w:p>
    <w:p w14:paraId="5DA4E981" w14:textId="77777777" w:rsidR="00767B70" w:rsidRPr="00E31474" w:rsidRDefault="00767B70" w:rsidP="00767B70">
      <w:pPr>
        <w:pStyle w:val="Body"/>
        <w:spacing w:line="276" w:lineRule="auto"/>
      </w:pPr>
    </w:p>
    <w:p w14:paraId="127BEA11" w14:textId="1A9EDF9E" w:rsidR="005C5D65" w:rsidRPr="00E31474" w:rsidRDefault="00767B70" w:rsidP="00767B70">
      <w:pPr>
        <w:pStyle w:val="Body"/>
        <w:spacing w:line="276" w:lineRule="auto"/>
        <w:rPr>
          <w:color w:val="000000" w:themeColor="text1"/>
          <w:shd w:val="clear" w:color="auto" w:fill="FFFFFF"/>
        </w:rPr>
      </w:pPr>
      <w:r>
        <w:rPr>
          <w:color w:val="000000" w:themeColor="text1"/>
          <w:shd w:val="clear" w:color="auto" w:fill="FFFFFF"/>
        </w:rPr>
        <w:t>Le syndrome carcinoïde survient lorsque de rares tumeurs neuroendocrines cancéreuses appelées tumeurs carcinoïdes libèrent des protéines dans la circulation sanguine, provoquant l’apparition de différents signes et symptômes, notamment une diarrhée et des bouffées vasomotrices.</w:t>
      </w:r>
      <w:bookmarkStart w:id="2" w:name="_Hlk505347844"/>
      <w:r w:rsidRPr="00E31474">
        <w:rPr>
          <w:rStyle w:val="EndnoteReference"/>
          <w:shd w:val="clear" w:color="auto" w:fill="FEFEFE"/>
        </w:rPr>
        <w:endnoteReference w:id="5"/>
      </w:r>
      <w:bookmarkEnd w:id="1"/>
      <w:bookmarkEnd w:id="2"/>
      <w:r>
        <w:rPr>
          <w:color w:val="000000" w:themeColor="text1"/>
          <w:shd w:val="clear" w:color="auto" w:fill="FFFFFF"/>
        </w:rPr>
        <w:t xml:space="preserve"> </w:t>
      </w:r>
      <w:r>
        <w:rPr>
          <w:color w:val="000000" w:themeColor="text1"/>
        </w:rPr>
        <w:t>Les tumeurs carcinoïdes touchent généralement l’œsophage, l’estomac, les intestins, l’appendice et les poumons</w:t>
      </w:r>
      <w:r w:rsidRPr="00E31474">
        <w:rPr>
          <w:rStyle w:val="EndnoteReference"/>
          <w:shd w:val="clear" w:color="auto" w:fill="FEFEFE"/>
        </w:rPr>
        <w:endnoteReference w:id="6"/>
      </w:r>
      <w:r>
        <w:rPr>
          <w:color w:val="000000" w:themeColor="text1"/>
        </w:rPr>
        <w:t>.</w:t>
      </w:r>
    </w:p>
    <w:p w14:paraId="1C562771" w14:textId="77777777" w:rsidR="005C5D65" w:rsidRPr="00E31474" w:rsidRDefault="005C5D65" w:rsidP="00313E1A">
      <w:pPr>
        <w:spacing w:line="240" w:lineRule="auto"/>
        <w:contextualSpacing w:val="0"/>
        <w:rPr>
          <w:b/>
          <w:bCs/>
        </w:rPr>
      </w:pPr>
    </w:p>
    <w:p w14:paraId="486114A8" w14:textId="4A542704" w:rsidR="003E6EE8" w:rsidRPr="00E31474" w:rsidRDefault="003E6EE8" w:rsidP="00313E1A">
      <w:pPr>
        <w:spacing w:line="240" w:lineRule="auto"/>
        <w:contextualSpacing w:val="0"/>
        <w:rPr>
          <w:b/>
          <w:bCs/>
        </w:rPr>
      </w:pPr>
      <w:r>
        <w:rPr>
          <w:b/>
          <w:bCs/>
        </w:rPr>
        <w:t xml:space="preserve">L’acromégalie </w:t>
      </w:r>
    </w:p>
    <w:p w14:paraId="56A35854" w14:textId="4704466D" w:rsidR="006468E3" w:rsidRPr="00E31474" w:rsidRDefault="006468E3" w:rsidP="000C4843">
      <w:pPr>
        <w:pStyle w:val="NormalWeb"/>
        <w:shd w:val="clear" w:color="auto" w:fill="FFFFFF"/>
        <w:spacing w:before="0" w:beforeAutospacing="0" w:after="0" w:afterAutospacing="0"/>
        <w:rPr>
          <w:rFonts w:ascii="Arial" w:hAnsi="Arial" w:cs="Arial"/>
          <w:sz w:val="22"/>
          <w:szCs w:val="22"/>
        </w:rPr>
      </w:pPr>
      <w:r>
        <w:rPr>
          <w:rFonts w:ascii="Arial" w:hAnsi="Arial"/>
          <w:sz w:val="22"/>
          <w:szCs w:val="22"/>
        </w:rPr>
        <w:t>L’acromégalie est une maladie rare et débilitante. Elle survient lorsque l’hypophyse (une glande de la taille d’un pois située dans le cerveau) produit une trop grande quantité d’hormone de croissance. Cela peut entraîner des modifications au niveau de l’ossature du visage ainsi que de la quantité d’autres hormones spécifiques. Si elle n’est pas traitée, l’acromégalie peut engendrer d’autres complications de nature médicale</w:t>
      </w:r>
      <w:r w:rsidRPr="00E31474">
        <w:rPr>
          <w:rStyle w:val="EndnoteReference"/>
          <w:rFonts w:ascii="Arial" w:hAnsi="Arial" w:cs="Arial"/>
          <w:sz w:val="22"/>
          <w:szCs w:val="22"/>
        </w:rPr>
        <w:endnoteReference w:id="7"/>
      </w:r>
      <w:r>
        <w:rPr>
          <w:rFonts w:ascii="Arial" w:hAnsi="Arial"/>
          <w:sz w:val="22"/>
          <w:szCs w:val="22"/>
        </w:rPr>
        <w:t>. Chaque année, de 3 à 4 personnes sur un million reçoivent un diagnostic d’acromégalie. Cela signifie qu’environ 60 personnes sur un million en sont atteintes. Au total, au moins 2 000 Canadiens souffrent d’acromégalie alors que d’autres sont toujours en attente d’un diagnostic</w:t>
      </w:r>
      <w:r w:rsidRPr="00E31474">
        <w:rPr>
          <w:rStyle w:val="EndnoteReference"/>
          <w:rFonts w:ascii="Arial" w:hAnsi="Arial" w:cs="Arial"/>
          <w:sz w:val="22"/>
          <w:szCs w:val="22"/>
        </w:rPr>
        <w:endnoteReference w:id="8"/>
      </w:r>
      <w:r>
        <w:rPr>
          <w:rFonts w:ascii="Arial" w:hAnsi="Arial"/>
          <w:sz w:val="22"/>
          <w:szCs w:val="22"/>
        </w:rPr>
        <w:t xml:space="preserve">. </w:t>
      </w:r>
    </w:p>
    <w:p w14:paraId="20F27968" w14:textId="77777777" w:rsidR="006468E3" w:rsidRPr="00E31474" w:rsidRDefault="006468E3" w:rsidP="00313E1A">
      <w:pPr>
        <w:spacing w:line="240" w:lineRule="auto"/>
        <w:contextualSpacing w:val="0"/>
        <w:rPr>
          <w:b/>
          <w:bCs/>
        </w:rPr>
      </w:pPr>
    </w:p>
    <w:p w14:paraId="62E8B531" w14:textId="06FDE2BE" w:rsidR="00313E1A" w:rsidRPr="00E31474" w:rsidRDefault="00313E1A" w:rsidP="00313E1A">
      <w:pPr>
        <w:spacing w:line="240" w:lineRule="auto"/>
        <w:contextualSpacing w:val="0"/>
        <w:rPr>
          <w:b/>
          <w:bCs/>
        </w:rPr>
      </w:pPr>
      <w:proofErr w:type="spellStart"/>
      <w:r>
        <w:rPr>
          <w:b/>
          <w:bCs/>
        </w:rPr>
        <w:t>Somatuline</w:t>
      </w:r>
      <w:r>
        <w:rPr>
          <w:b/>
          <w:bCs/>
          <w:vertAlign w:val="superscript"/>
        </w:rPr>
        <w:t>MD</w:t>
      </w:r>
      <w:proofErr w:type="spellEnd"/>
      <w:r>
        <w:rPr>
          <w:b/>
          <w:bCs/>
        </w:rPr>
        <w:t xml:space="preserve"> </w:t>
      </w:r>
      <w:proofErr w:type="spellStart"/>
      <w:r>
        <w:rPr>
          <w:b/>
          <w:bCs/>
        </w:rPr>
        <w:t>Autogel</w:t>
      </w:r>
      <w:bookmarkStart w:id="3" w:name="_Hlk23851245"/>
      <w:r>
        <w:rPr>
          <w:b/>
          <w:bCs/>
          <w:vertAlign w:val="superscript"/>
        </w:rPr>
        <w:t>MD</w:t>
      </w:r>
      <w:bookmarkEnd w:id="3"/>
      <w:proofErr w:type="spellEnd"/>
      <w:r>
        <w:rPr>
          <w:b/>
          <w:bCs/>
        </w:rPr>
        <w:t xml:space="preserve"> (</w:t>
      </w:r>
      <w:proofErr w:type="spellStart"/>
      <w:r>
        <w:rPr>
          <w:b/>
          <w:bCs/>
        </w:rPr>
        <w:t>lanréotide</w:t>
      </w:r>
      <w:proofErr w:type="spellEnd"/>
      <w:r>
        <w:rPr>
          <w:b/>
          <w:bCs/>
        </w:rPr>
        <w:t xml:space="preserve"> injectable)</w:t>
      </w:r>
    </w:p>
    <w:p w14:paraId="02D466B9" w14:textId="1F0462BD" w:rsidR="008477DB" w:rsidRPr="00E31474" w:rsidRDefault="008477DB" w:rsidP="008477DB">
      <w:pPr>
        <w:autoSpaceDE w:val="0"/>
        <w:autoSpaceDN w:val="0"/>
        <w:adjustRightInd w:val="0"/>
        <w:spacing w:line="240" w:lineRule="auto"/>
        <w:contextualSpacing w:val="0"/>
        <w:rPr>
          <w:color w:val="000000"/>
        </w:rPr>
      </w:pPr>
      <w:proofErr w:type="spellStart"/>
      <w:r>
        <w:rPr>
          <w:color w:val="000000"/>
        </w:rPr>
        <w:t>Somatuline</w:t>
      </w:r>
      <w:r>
        <w:rPr>
          <w:color w:val="000000"/>
          <w:vertAlign w:val="superscript"/>
        </w:rPr>
        <w:t>MD</w:t>
      </w:r>
      <w:proofErr w:type="spellEnd"/>
      <w:r>
        <w:rPr>
          <w:color w:val="000000"/>
        </w:rPr>
        <w:t xml:space="preserve"> </w:t>
      </w:r>
      <w:proofErr w:type="spellStart"/>
      <w:r>
        <w:rPr>
          <w:color w:val="000000"/>
        </w:rPr>
        <w:t>Autogel</w:t>
      </w:r>
      <w:r>
        <w:rPr>
          <w:color w:val="000000"/>
          <w:vertAlign w:val="superscript"/>
        </w:rPr>
        <w:t>MD</w:t>
      </w:r>
      <w:proofErr w:type="spellEnd"/>
      <w:r>
        <w:rPr>
          <w:color w:val="000000"/>
        </w:rPr>
        <w:t xml:space="preserve"> est indiqué pour :</w:t>
      </w:r>
    </w:p>
    <w:p w14:paraId="2DCB3F2A" w14:textId="77777777" w:rsidR="00B348F9" w:rsidRPr="00E31474" w:rsidRDefault="008477DB" w:rsidP="007D5DCF">
      <w:pPr>
        <w:pStyle w:val="ListParagraph"/>
        <w:numPr>
          <w:ilvl w:val="0"/>
          <w:numId w:val="8"/>
        </w:numPr>
        <w:autoSpaceDE w:val="0"/>
        <w:autoSpaceDN w:val="0"/>
        <w:adjustRightInd w:val="0"/>
        <w:rPr>
          <w:rFonts w:ascii="Arial" w:eastAsia="Times New Roman" w:hAnsi="Arial" w:cs="Arial"/>
        </w:rPr>
      </w:pPr>
      <w:r>
        <w:rPr>
          <w:rFonts w:ascii="Arial" w:hAnsi="Arial"/>
        </w:rPr>
        <w:t xml:space="preserve">Le traitement des tumeurs neuroendocrines gastro-entéro-pancréatiques chez les adultes atteints d’une maladie localement avancée ou métastatique non résécable de grade 1 ou d’un sous-groupe du grade 2 (équivalent à un indice Ki67 &lt; 10 %), afin d’en retarder la progression. </w:t>
      </w:r>
    </w:p>
    <w:p w14:paraId="3FA5AFCB" w14:textId="1D05A33D" w:rsidR="008477DB" w:rsidRPr="00E31474" w:rsidRDefault="008477DB" w:rsidP="007D5DCF">
      <w:pPr>
        <w:pStyle w:val="ListParagraph"/>
        <w:numPr>
          <w:ilvl w:val="0"/>
          <w:numId w:val="8"/>
        </w:numPr>
        <w:autoSpaceDE w:val="0"/>
        <w:autoSpaceDN w:val="0"/>
        <w:adjustRightInd w:val="0"/>
        <w:rPr>
          <w:rFonts w:ascii="Arial" w:eastAsia="Times New Roman" w:hAnsi="Arial" w:cs="Arial"/>
        </w:rPr>
      </w:pPr>
      <w:r>
        <w:rPr>
          <w:rFonts w:ascii="Arial" w:hAnsi="Arial"/>
        </w:rPr>
        <w:t xml:space="preserve">Le traitement du syndrome carcinoïde chez l’adulte; l’utilisation de </w:t>
      </w:r>
      <w:proofErr w:type="spellStart"/>
      <w:r>
        <w:rPr>
          <w:rFonts w:ascii="Arial" w:hAnsi="Arial"/>
        </w:rPr>
        <w:t>Somatuline</w:t>
      </w:r>
      <w:r>
        <w:rPr>
          <w:rFonts w:ascii="Arial" w:hAnsi="Arial"/>
          <w:vertAlign w:val="superscript"/>
        </w:rPr>
        <w:t>MD</w:t>
      </w:r>
      <w:proofErr w:type="spellEnd"/>
      <w:r>
        <w:rPr>
          <w:rFonts w:ascii="Arial" w:hAnsi="Arial"/>
        </w:rPr>
        <w:t xml:space="preserve"> </w:t>
      </w:r>
      <w:proofErr w:type="spellStart"/>
      <w:r>
        <w:rPr>
          <w:rFonts w:ascii="Arial" w:hAnsi="Arial"/>
        </w:rPr>
        <w:t>Autogel</w:t>
      </w:r>
      <w:r>
        <w:rPr>
          <w:rFonts w:ascii="Arial" w:hAnsi="Arial"/>
          <w:vertAlign w:val="superscript"/>
        </w:rPr>
        <w:t>MD</w:t>
      </w:r>
      <w:proofErr w:type="spellEnd"/>
      <w:r>
        <w:rPr>
          <w:rFonts w:ascii="Arial" w:hAnsi="Arial"/>
        </w:rPr>
        <w:t xml:space="preserve"> permet de réduire la fréquence d’administration </w:t>
      </w:r>
      <w:r>
        <w:rPr>
          <w:rFonts w:ascii="Arial" w:hAnsi="Arial"/>
          <w:color w:val="000000"/>
        </w:rPr>
        <w:t>des analogues de la somatostatine à courte durée d’action comme médicaments de secours</w:t>
      </w:r>
      <w:r w:rsidRPr="00E31474">
        <w:rPr>
          <w:rStyle w:val="EndnoteReference"/>
          <w:rFonts w:ascii="Arial" w:eastAsia="Times New Roman" w:hAnsi="Arial" w:cs="Arial"/>
          <w:lang w:eastAsia="en-CA"/>
        </w:rPr>
        <w:endnoteReference w:id="9"/>
      </w:r>
      <w:r>
        <w:rPr>
          <w:rFonts w:ascii="Arial" w:hAnsi="Arial"/>
          <w:color w:val="000000"/>
        </w:rPr>
        <w:t>.</w:t>
      </w:r>
      <w:r>
        <w:rPr>
          <w:rFonts w:ascii="Arial" w:hAnsi="Arial"/>
        </w:rPr>
        <w:t xml:space="preserve"> </w:t>
      </w:r>
    </w:p>
    <w:p w14:paraId="219C2099" w14:textId="77777777" w:rsidR="00DA0F73" w:rsidRPr="00E31474" w:rsidRDefault="000C4843" w:rsidP="004427B4">
      <w:pPr>
        <w:pStyle w:val="ListParagraph"/>
        <w:numPr>
          <w:ilvl w:val="0"/>
          <w:numId w:val="8"/>
        </w:numPr>
        <w:autoSpaceDE w:val="0"/>
        <w:autoSpaceDN w:val="0"/>
        <w:adjustRightInd w:val="0"/>
        <w:rPr>
          <w:rFonts w:ascii="Arial" w:eastAsia="Times New Roman" w:hAnsi="Arial" w:cs="Arial"/>
        </w:rPr>
      </w:pPr>
      <w:r>
        <w:rPr>
          <w:rFonts w:ascii="Arial" w:hAnsi="Arial"/>
        </w:rPr>
        <w:t xml:space="preserve">Le traitement à long terme de l’acromégalie causée par une tumeur hypophysaire chez les patients qui n’ont pas bien répondu à la chirurgie ou à la radiothérapie ou chez qui ces traitements ne peuvent être envisagés. </w:t>
      </w:r>
    </w:p>
    <w:p w14:paraId="28F58239" w14:textId="5E2A8E26" w:rsidR="000C4843" w:rsidRPr="00E31474" w:rsidRDefault="00DA0F73" w:rsidP="004427B4">
      <w:pPr>
        <w:pStyle w:val="ListParagraph"/>
        <w:numPr>
          <w:ilvl w:val="0"/>
          <w:numId w:val="8"/>
        </w:numPr>
        <w:autoSpaceDE w:val="0"/>
        <w:autoSpaceDN w:val="0"/>
        <w:adjustRightInd w:val="0"/>
        <w:rPr>
          <w:rFonts w:ascii="Arial" w:eastAsia="Times New Roman" w:hAnsi="Arial" w:cs="Arial"/>
        </w:rPr>
      </w:pPr>
      <w:r>
        <w:rPr>
          <w:rFonts w:ascii="Arial" w:hAnsi="Arial"/>
        </w:rPr>
        <w:t xml:space="preserve">Le soulagement des symptômes associés à l’acromégalie. </w:t>
      </w:r>
    </w:p>
    <w:p w14:paraId="42B2EF25" w14:textId="77777777" w:rsidR="009142F3" w:rsidRPr="00E31474" w:rsidRDefault="009142F3" w:rsidP="009142F3">
      <w:pPr>
        <w:pStyle w:val="Default"/>
        <w:rPr>
          <w:rFonts w:ascii="Arial" w:hAnsi="Arial" w:cs="Arial"/>
          <w:sz w:val="22"/>
          <w:szCs w:val="22"/>
        </w:rPr>
      </w:pPr>
    </w:p>
    <w:p w14:paraId="51DA702B" w14:textId="71EA4055" w:rsidR="006E44C6" w:rsidRPr="00E31474" w:rsidRDefault="002511F0" w:rsidP="009142F3">
      <w:pPr>
        <w:pStyle w:val="Default"/>
        <w:rPr>
          <w:rFonts w:ascii="Arial" w:hAnsi="Arial" w:cs="Arial"/>
          <w:sz w:val="22"/>
          <w:szCs w:val="22"/>
        </w:rPr>
      </w:pPr>
      <w:r>
        <w:rPr>
          <w:rFonts w:ascii="Arial" w:hAnsi="Arial"/>
          <w:b/>
          <w:sz w:val="22"/>
          <w:szCs w:val="22"/>
        </w:rPr>
        <w:t>Ipsen</w:t>
      </w:r>
    </w:p>
    <w:p w14:paraId="440E0041" w14:textId="7ADB5487" w:rsidR="006E44C6" w:rsidRPr="00E31474" w:rsidRDefault="002511F0" w:rsidP="00B96362">
      <w:pPr>
        <w:spacing w:line="240" w:lineRule="auto"/>
        <w:contextualSpacing w:val="0"/>
      </w:pPr>
      <w:r>
        <w:t xml:space="preserve">Ipsen </w:t>
      </w:r>
      <w:proofErr w:type="spellStart"/>
      <w:r>
        <w:t>Biopharmaceuticals</w:t>
      </w:r>
      <w:proofErr w:type="spellEnd"/>
      <w:r>
        <w:t xml:space="preserve"> Canada Inc., dont le siège social est situé à Mississauga, en Ontario, est la filiale canadienne d’Ipsen et est en activité depuis octobre 2015. Pour plus d’information sur Ipsen </w:t>
      </w:r>
      <w:proofErr w:type="spellStart"/>
      <w:r>
        <w:t>Biopharmaceuticals</w:t>
      </w:r>
      <w:proofErr w:type="spellEnd"/>
      <w:r>
        <w:t xml:space="preserve"> Canada Inc., consultez son site Internet</w:t>
      </w:r>
      <w:hyperlink r:id="rId9">
        <w:r>
          <w:t xml:space="preserve"> </w:t>
        </w:r>
      </w:hyperlink>
      <w:hyperlink r:id="rId10">
        <w:r>
          <w:rPr>
            <w:color w:val="1155CC"/>
            <w:u w:val="single"/>
          </w:rPr>
          <w:t>www.ipsen.ca</w:t>
        </w:r>
      </w:hyperlink>
      <w:r>
        <w:t xml:space="preserve">. Ipsen est un groupe pharmaceutique de spécialité à vocation mondiale centré sur l’innovation et les soins spécialisés. Le Groupe développe et commercialise des médicaments novateurs dans trois secteurs thérapeutiques clés : l’oncologie, les neurosciences et les maladies rares. Son engagement en oncologie est illustré par son portefeuille croissant de thérapies importantes visant à améliorer la vie des patients souffrant de cancers de la prostate, du rein et du pancréas et de tumeurs neuroendocrines. Elle concentre ses activités de recherche et de développement sur des plateformes technologiques différenciées et innovantes situées au cœur des principaux pôles d’activité mondiaux en recherche biotechnologique ou en sciences de la vie (Paris-Saclay, France; Oxford, Royaume-Uni; Cambridge, États-Unis). Le Groupe compte environ 5 700 employés dans le monde. Les actions d’Ipsen sont négociées à Paris (Euronext: IPN) et aux États-Unis grâce à un programme d’American </w:t>
      </w:r>
      <w:proofErr w:type="spellStart"/>
      <w:r>
        <w:t>Depositary</w:t>
      </w:r>
      <w:proofErr w:type="spellEnd"/>
      <w:r>
        <w:t xml:space="preserve"> </w:t>
      </w:r>
      <w:proofErr w:type="spellStart"/>
      <w:r>
        <w:t>Receipt</w:t>
      </w:r>
      <w:proofErr w:type="spellEnd"/>
      <w:r>
        <w:t xml:space="preserve"> commandité de niveau I (ADR: IPSEY). Pour plus d’information sur Ipsen, consultez son site Internet</w:t>
      </w:r>
      <w:hyperlink r:id="rId11">
        <w:r>
          <w:t xml:space="preserve"> </w:t>
        </w:r>
      </w:hyperlink>
      <w:hyperlink r:id="rId12">
        <w:r>
          <w:rPr>
            <w:color w:val="1155CC"/>
            <w:u w:val="single"/>
          </w:rPr>
          <w:t>www.ipsen.com</w:t>
        </w:r>
      </w:hyperlink>
      <w:r>
        <w:t>.</w:t>
      </w:r>
    </w:p>
    <w:p w14:paraId="682CA743" w14:textId="77777777" w:rsidR="006E44C6" w:rsidRPr="00E31474" w:rsidRDefault="002511F0">
      <w:pPr>
        <w:contextualSpacing w:val="0"/>
        <w:rPr>
          <w:b/>
        </w:rPr>
      </w:pPr>
      <w:r>
        <w:rPr>
          <w:b/>
        </w:rPr>
        <w:t xml:space="preserve"> </w:t>
      </w:r>
    </w:p>
    <w:p w14:paraId="343D61E2" w14:textId="674BAA8C" w:rsidR="006E44C6" w:rsidRPr="00E31474" w:rsidRDefault="002511F0" w:rsidP="00A33DBF">
      <w:pPr>
        <w:contextualSpacing w:val="0"/>
        <w:rPr>
          <w:b/>
        </w:rPr>
      </w:pPr>
      <w:r>
        <w:rPr>
          <w:b/>
        </w:rPr>
        <w:t xml:space="preserve">Renseignements : </w:t>
      </w:r>
    </w:p>
    <w:p w14:paraId="31E0EBA7" w14:textId="7E731D22" w:rsidR="006E44C6" w:rsidRPr="00E31474" w:rsidRDefault="002511F0">
      <w:pPr>
        <w:contextualSpacing w:val="0"/>
        <w:jc w:val="both"/>
      </w:pPr>
      <w:r>
        <w:lastRenderedPageBreak/>
        <w:t xml:space="preserve">Sheba Zaidi       </w:t>
      </w:r>
      <w:r>
        <w:tab/>
        <w:t xml:space="preserve">           </w:t>
      </w:r>
      <w:r>
        <w:tab/>
        <w:t>Maryann Quinn</w:t>
      </w:r>
    </w:p>
    <w:p w14:paraId="1CBD2343" w14:textId="684EBDBA" w:rsidR="006E44C6" w:rsidRPr="00E31474" w:rsidRDefault="002511F0">
      <w:pPr>
        <w:contextualSpacing w:val="0"/>
        <w:jc w:val="both"/>
      </w:pPr>
      <w:r>
        <w:t xml:space="preserve">Proof Inc.             </w:t>
      </w:r>
      <w:r>
        <w:tab/>
        <w:t xml:space="preserve">     </w:t>
      </w:r>
      <w:r>
        <w:tab/>
        <w:t xml:space="preserve">Ipsen </w:t>
      </w:r>
      <w:proofErr w:type="spellStart"/>
      <w:r>
        <w:t>Biopharmaceuticals</w:t>
      </w:r>
      <w:proofErr w:type="spellEnd"/>
    </w:p>
    <w:p w14:paraId="51331D53" w14:textId="0997DCA0" w:rsidR="00E40778" w:rsidRPr="00E31474" w:rsidRDefault="002511F0">
      <w:pPr>
        <w:contextualSpacing w:val="0"/>
        <w:jc w:val="both"/>
      </w:pPr>
      <w:r>
        <w:t xml:space="preserve">Szaidi@getproof.com            </w:t>
      </w:r>
      <w:r>
        <w:tab/>
        <w:t>maryann.quinn@ipsen.com</w:t>
      </w:r>
      <w:r>
        <w:tab/>
      </w:r>
    </w:p>
    <w:p w14:paraId="5440ECB2" w14:textId="6A24B4F8" w:rsidR="006E44C6" w:rsidRPr="00E31474" w:rsidRDefault="002511F0">
      <w:pPr>
        <w:contextualSpacing w:val="0"/>
        <w:jc w:val="both"/>
      </w:pPr>
      <w:r>
        <w:t xml:space="preserve">416 969-2652                 </w:t>
      </w:r>
      <w:r>
        <w:tab/>
        <w:t xml:space="preserve">857 529-1151 </w:t>
      </w:r>
    </w:p>
    <w:p w14:paraId="7666824D" w14:textId="77777777" w:rsidR="006E44C6" w:rsidRPr="00E31474" w:rsidRDefault="006E44C6">
      <w:pPr>
        <w:contextualSpacing w:val="0"/>
        <w:rPr>
          <w:b/>
        </w:rPr>
      </w:pPr>
    </w:p>
    <w:sectPr w:rsidR="006E44C6" w:rsidRPr="00E31474" w:rsidSect="00A33DBF">
      <w:headerReference w:type="default" r:id="rId13"/>
      <w:pgSz w:w="12240" w:h="15840"/>
      <w:pgMar w:top="1440" w:right="1440" w:bottom="99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157DC" w14:textId="77777777" w:rsidR="001B5022" w:rsidRDefault="001B5022">
      <w:pPr>
        <w:spacing w:line="240" w:lineRule="auto"/>
      </w:pPr>
      <w:r>
        <w:separator/>
      </w:r>
    </w:p>
  </w:endnote>
  <w:endnote w:type="continuationSeparator" w:id="0">
    <w:p w14:paraId="551C0D70" w14:textId="77777777" w:rsidR="001B5022" w:rsidRDefault="001B5022">
      <w:pPr>
        <w:spacing w:line="240" w:lineRule="auto"/>
      </w:pPr>
      <w:r>
        <w:continuationSeparator/>
      </w:r>
    </w:p>
  </w:endnote>
  <w:endnote w:id="1">
    <w:p w14:paraId="0B0D7AA6" w14:textId="79BECFFE" w:rsidR="007D5DCF" w:rsidRPr="00503805" w:rsidRDefault="007D5DCF" w:rsidP="007D5DCF">
      <w:pPr>
        <w:pStyle w:val="EndnoteText"/>
      </w:pPr>
      <w:r>
        <w:rPr>
          <w:rStyle w:val="EndnoteReference"/>
        </w:rPr>
        <w:endnoteRef/>
      </w:r>
      <w:r>
        <w:t xml:space="preserve"> </w:t>
      </w:r>
      <w:r>
        <w:rPr>
          <w:sz w:val="18"/>
          <w:szCs w:val="18"/>
        </w:rPr>
        <w:t>Somatuline Autogel (lanréotide), Monographie du produit, Canada. N</w:t>
      </w:r>
      <w:r>
        <w:rPr>
          <w:sz w:val="18"/>
          <w:szCs w:val="18"/>
          <w:vertAlign w:val="superscript"/>
        </w:rPr>
        <w:t>o</w:t>
      </w:r>
      <w:r>
        <w:rPr>
          <w:sz w:val="18"/>
          <w:szCs w:val="18"/>
        </w:rPr>
        <w:t xml:space="preserve"> de contrôle de la soumission : 225592; </w:t>
      </w:r>
      <w:r>
        <w:rPr>
          <w:sz w:val="18"/>
          <w:szCs w:val="18"/>
          <w:shd w:val="clear" w:color="auto" w:fill="FFFFFF"/>
        </w:rPr>
        <w:t xml:space="preserve">Date de révision : </w:t>
      </w:r>
      <w:r>
        <w:rPr>
          <w:sz w:val="18"/>
          <w:szCs w:val="18"/>
        </w:rPr>
        <w:t>3 mai 2019.</w:t>
      </w:r>
    </w:p>
  </w:endnote>
  <w:endnote w:id="2">
    <w:p w14:paraId="313CB534" w14:textId="76C97B69" w:rsidR="003E6EE8" w:rsidRPr="003E6EE8" w:rsidRDefault="003E6EE8">
      <w:pPr>
        <w:pStyle w:val="EndnoteText"/>
      </w:pPr>
      <w:r>
        <w:rPr>
          <w:rStyle w:val="EndnoteReference"/>
        </w:rPr>
        <w:endnoteRef/>
      </w:r>
      <w:r>
        <w:t xml:space="preserve"> </w:t>
      </w:r>
      <w:r>
        <w:rPr>
          <w:sz w:val="18"/>
          <w:szCs w:val="18"/>
        </w:rPr>
        <w:t>Somatuline Autogel (lanréotide), Monographie du produit, Canada. N</w:t>
      </w:r>
      <w:r>
        <w:rPr>
          <w:sz w:val="18"/>
          <w:szCs w:val="18"/>
          <w:vertAlign w:val="superscript"/>
        </w:rPr>
        <w:t>o</w:t>
      </w:r>
      <w:r>
        <w:rPr>
          <w:sz w:val="18"/>
          <w:szCs w:val="18"/>
        </w:rPr>
        <w:t xml:space="preserve"> de contrôle de la soumission : 225592; </w:t>
      </w:r>
      <w:r>
        <w:rPr>
          <w:sz w:val="18"/>
          <w:szCs w:val="18"/>
          <w:shd w:val="clear" w:color="auto" w:fill="FFFFFF"/>
        </w:rPr>
        <w:t xml:space="preserve">Date de révision : </w:t>
      </w:r>
      <w:r>
        <w:rPr>
          <w:sz w:val="18"/>
          <w:szCs w:val="18"/>
        </w:rPr>
        <w:t>3 mai 2019.</w:t>
      </w:r>
    </w:p>
  </w:endnote>
  <w:endnote w:id="3">
    <w:p w14:paraId="36CF4FBD" w14:textId="001736CE" w:rsidR="005C5D65" w:rsidRPr="00BD0798" w:rsidRDefault="005C5D65" w:rsidP="005C5D65">
      <w:pPr>
        <w:pStyle w:val="EndnoteText"/>
        <w:rPr>
          <w:sz w:val="18"/>
          <w:szCs w:val="18"/>
        </w:rPr>
      </w:pPr>
      <w:r>
        <w:rPr>
          <w:rStyle w:val="EndnoteReference"/>
          <w:sz w:val="18"/>
          <w:szCs w:val="18"/>
        </w:rPr>
        <w:endnoteRef/>
      </w:r>
      <w:r>
        <w:rPr>
          <w:sz w:val="18"/>
          <w:szCs w:val="18"/>
        </w:rPr>
        <w:t xml:space="preserve"> Somatuline Autogel (lanréotide), Monographie du produit, Canada. N</w:t>
      </w:r>
      <w:r>
        <w:rPr>
          <w:sz w:val="18"/>
          <w:szCs w:val="18"/>
          <w:vertAlign w:val="superscript"/>
        </w:rPr>
        <w:t>o</w:t>
      </w:r>
      <w:r>
        <w:rPr>
          <w:sz w:val="18"/>
          <w:szCs w:val="18"/>
        </w:rPr>
        <w:t xml:space="preserve"> de contrôle de la soumission : 225592; </w:t>
      </w:r>
      <w:r>
        <w:rPr>
          <w:sz w:val="18"/>
          <w:szCs w:val="18"/>
          <w:shd w:val="clear" w:color="auto" w:fill="FFFFFF"/>
        </w:rPr>
        <w:t xml:space="preserve">Date de révision : </w:t>
      </w:r>
      <w:r>
        <w:rPr>
          <w:sz w:val="18"/>
          <w:szCs w:val="18"/>
        </w:rPr>
        <w:t>3 mai 2019.</w:t>
      </w:r>
    </w:p>
  </w:endnote>
  <w:endnote w:id="4">
    <w:p w14:paraId="4A32DD07" w14:textId="77777777" w:rsidR="005C5D65" w:rsidRPr="00BD0798" w:rsidRDefault="005C5D65" w:rsidP="005C5D65">
      <w:pPr>
        <w:pStyle w:val="EndnoteText"/>
        <w:rPr>
          <w:sz w:val="18"/>
          <w:szCs w:val="18"/>
        </w:rPr>
      </w:pPr>
      <w:r>
        <w:rPr>
          <w:rStyle w:val="EndnoteReference"/>
          <w:sz w:val="18"/>
          <w:szCs w:val="18"/>
        </w:rPr>
        <w:endnoteRef/>
      </w:r>
      <w:r>
        <w:rPr>
          <w:sz w:val="18"/>
          <w:szCs w:val="18"/>
        </w:rPr>
        <w:t xml:space="preserve"> CNETs Canada, </w:t>
      </w:r>
      <w:hyperlink r:id="rId1" w:history="1">
        <w:r>
          <w:rPr>
            <w:rStyle w:val="Hyperlink"/>
            <w:sz w:val="18"/>
            <w:szCs w:val="18"/>
          </w:rPr>
          <w:t>https://cnetscanada.org/wp-content/uploads/2016/03/2014-NETS-One-Pager_Final.pdf</w:t>
        </w:r>
      </w:hyperlink>
      <w:r>
        <w:rPr>
          <w:sz w:val="18"/>
          <w:szCs w:val="18"/>
        </w:rPr>
        <w:t>, page consultée le 4 septembre 2019.</w:t>
      </w:r>
    </w:p>
  </w:endnote>
  <w:endnote w:id="5">
    <w:p w14:paraId="454AF266" w14:textId="5DDB5C3C" w:rsidR="00767B70" w:rsidRPr="00BD0798" w:rsidRDefault="00767B70" w:rsidP="00767B70">
      <w:pPr>
        <w:pStyle w:val="EndnoteText"/>
        <w:rPr>
          <w:sz w:val="18"/>
          <w:szCs w:val="18"/>
        </w:rPr>
      </w:pPr>
      <w:r>
        <w:rPr>
          <w:rStyle w:val="EndnoteReference"/>
          <w:sz w:val="18"/>
          <w:szCs w:val="18"/>
        </w:rPr>
        <w:endnoteRef/>
      </w:r>
      <w:r>
        <w:rPr>
          <w:sz w:val="18"/>
          <w:szCs w:val="18"/>
        </w:rPr>
        <w:t xml:space="preserve"> Somatuline Autogel (lanréotide), Monographie du produit, Canada. N</w:t>
      </w:r>
      <w:r>
        <w:rPr>
          <w:sz w:val="18"/>
          <w:szCs w:val="18"/>
          <w:vertAlign w:val="superscript"/>
        </w:rPr>
        <w:t>o</w:t>
      </w:r>
      <w:r>
        <w:rPr>
          <w:sz w:val="18"/>
          <w:szCs w:val="18"/>
        </w:rPr>
        <w:t xml:space="preserve"> de contrôle de la soumission : 225592; </w:t>
      </w:r>
      <w:r>
        <w:rPr>
          <w:sz w:val="18"/>
          <w:szCs w:val="18"/>
          <w:shd w:val="clear" w:color="auto" w:fill="FFFFFF"/>
        </w:rPr>
        <w:t xml:space="preserve">Date de révision : </w:t>
      </w:r>
      <w:r>
        <w:rPr>
          <w:sz w:val="18"/>
          <w:szCs w:val="18"/>
        </w:rPr>
        <w:t>3 mai 2019.</w:t>
      </w:r>
    </w:p>
  </w:endnote>
  <w:endnote w:id="6">
    <w:p w14:paraId="67421941" w14:textId="7A1C9F40" w:rsidR="00767B70" w:rsidRPr="00BD0798" w:rsidRDefault="00767B70" w:rsidP="00767B70">
      <w:pPr>
        <w:pStyle w:val="EndnoteText"/>
        <w:rPr>
          <w:sz w:val="18"/>
          <w:szCs w:val="18"/>
        </w:rPr>
      </w:pPr>
      <w:r>
        <w:rPr>
          <w:rStyle w:val="EndnoteReference"/>
          <w:sz w:val="18"/>
          <w:szCs w:val="18"/>
        </w:rPr>
        <w:endnoteRef/>
      </w:r>
      <w:r>
        <w:rPr>
          <w:sz w:val="18"/>
          <w:szCs w:val="18"/>
        </w:rPr>
        <w:t xml:space="preserve"> Somatuline Autogel (lanréotide), Monographie du produit, Canada. N</w:t>
      </w:r>
      <w:r>
        <w:rPr>
          <w:sz w:val="18"/>
          <w:szCs w:val="18"/>
          <w:vertAlign w:val="superscript"/>
        </w:rPr>
        <w:t>o</w:t>
      </w:r>
      <w:r>
        <w:rPr>
          <w:sz w:val="18"/>
          <w:szCs w:val="18"/>
        </w:rPr>
        <w:t xml:space="preserve"> de contrôle de la soumission : 225292; </w:t>
      </w:r>
      <w:r>
        <w:rPr>
          <w:sz w:val="18"/>
          <w:szCs w:val="18"/>
          <w:shd w:val="clear" w:color="auto" w:fill="FFFFFF"/>
        </w:rPr>
        <w:t xml:space="preserve">Date de révision : </w:t>
      </w:r>
      <w:r>
        <w:rPr>
          <w:sz w:val="18"/>
          <w:szCs w:val="18"/>
        </w:rPr>
        <w:t>3 mai 2019.</w:t>
      </w:r>
    </w:p>
  </w:endnote>
  <w:endnote w:id="7">
    <w:p w14:paraId="44AFBA45" w14:textId="1DF31FB2" w:rsidR="006468E3" w:rsidRPr="00BD0798" w:rsidRDefault="006468E3">
      <w:pPr>
        <w:pStyle w:val="EndnoteText"/>
        <w:rPr>
          <w:sz w:val="18"/>
          <w:szCs w:val="18"/>
        </w:rPr>
      </w:pPr>
      <w:r>
        <w:rPr>
          <w:rStyle w:val="EndnoteReference"/>
          <w:sz w:val="18"/>
          <w:szCs w:val="18"/>
        </w:rPr>
        <w:endnoteRef/>
      </w:r>
      <w:r>
        <w:rPr>
          <w:sz w:val="18"/>
          <w:szCs w:val="18"/>
        </w:rPr>
        <w:t xml:space="preserve"> Somatuline Autogel (lanréotide), Monographie du produit, Canada. N</w:t>
      </w:r>
      <w:r>
        <w:rPr>
          <w:sz w:val="18"/>
          <w:szCs w:val="18"/>
          <w:vertAlign w:val="superscript"/>
        </w:rPr>
        <w:t>o</w:t>
      </w:r>
      <w:r>
        <w:rPr>
          <w:sz w:val="18"/>
          <w:szCs w:val="18"/>
        </w:rPr>
        <w:t xml:space="preserve"> de contrôle de la soumission : 225592; </w:t>
      </w:r>
      <w:r>
        <w:rPr>
          <w:sz w:val="18"/>
          <w:szCs w:val="18"/>
          <w:shd w:val="clear" w:color="auto" w:fill="FFFFFF"/>
        </w:rPr>
        <w:t xml:space="preserve">Date de révision : </w:t>
      </w:r>
      <w:r>
        <w:rPr>
          <w:sz w:val="18"/>
          <w:szCs w:val="18"/>
        </w:rPr>
        <w:t>3 mai 2019.</w:t>
      </w:r>
    </w:p>
  </w:endnote>
  <w:endnote w:id="8">
    <w:p w14:paraId="6F5A2A7C" w14:textId="6A195148" w:rsidR="006468E3" w:rsidRPr="00BD0798" w:rsidRDefault="006468E3">
      <w:pPr>
        <w:pStyle w:val="EndnoteText"/>
        <w:rPr>
          <w:sz w:val="18"/>
          <w:szCs w:val="18"/>
        </w:rPr>
      </w:pPr>
      <w:r>
        <w:rPr>
          <w:rStyle w:val="EndnoteReference"/>
          <w:sz w:val="18"/>
          <w:szCs w:val="18"/>
        </w:rPr>
        <w:endnoteRef/>
      </w:r>
      <w:r>
        <w:rPr>
          <w:sz w:val="18"/>
          <w:szCs w:val="18"/>
        </w:rPr>
        <w:t xml:space="preserve"> Canadian Pituitary Patient Network, </w:t>
      </w:r>
      <w:hyperlink r:id="rId2" w:history="1">
        <w:r>
          <w:rPr>
            <w:rStyle w:val="Hyperlink"/>
            <w:sz w:val="18"/>
            <w:szCs w:val="18"/>
          </w:rPr>
          <w:t>https://canadianpituitary.org/acromegaly-awareness-day</w:t>
        </w:r>
      </w:hyperlink>
      <w:r>
        <w:rPr>
          <w:sz w:val="18"/>
          <w:szCs w:val="18"/>
        </w:rPr>
        <w:t>, page consultée le 4 septembre 2019.</w:t>
      </w:r>
    </w:p>
  </w:endnote>
  <w:endnote w:id="9">
    <w:p w14:paraId="1284751B" w14:textId="72B2C795" w:rsidR="008477DB" w:rsidRPr="008477DB" w:rsidRDefault="008477DB">
      <w:pPr>
        <w:pStyle w:val="EndnoteText"/>
      </w:pPr>
      <w:r>
        <w:rPr>
          <w:rStyle w:val="EndnoteReference"/>
          <w:sz w:val="18"/>
          <w:szCs w:val="18"/>
        </w:rPr>
        <w:endnoteRef/>
      </w:r>
      <w:r>
        <w:rPr>
          <w:sz w:val="18"/>
          <w:szCs w:val="18"/>
        </w:rPr>
        <w:t xml:space="preserve"> Somatuline Autogel (lanréotide), Monographie du produit, Canada. N</w:t>
      </w:r>
      <w:r>
        <w:rPr>
          <w:sz w:val="18"/>
          <w:szCs w:val="18"/>
          <w:vertAlign w:val="superscript"/>
        </w:rPr>
        <w:t>o</w:t>
      </w:r>
      <w:r>
        <w:rPr>
          <w:sz w:val="18"/>
          <w:szCs w:val="18"/>
        </w:rPr>
        <w:t xml:space="preserve"> de contrôle de la soumission : 225592; </w:t>
      </w:r>
      <w:r>
        <w:rPr>
          <w:sz w:val="18"/>
          <w:szCs w:val="18"/>
          <w:shd w:val="clear" w:color="auto" w:fill="FFFFFF"/>
        </w:rPr>
        <w:t xml:space="preserve">Date de révision : </w:t>
      </w:r>
      <w:r>
        <w:rPr>
          <w:sz w:val="18"/>
          <w:szCs w:val="18"/>
        </w:rPr>
        <w:t>3 mai 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F693C" w14:textId="77777777" w:rsidR="001B5022" w:rsidRDefault="001B5022">
      <w:pPr>
        <w:spacing w:line="240" w:lineRule="auto"/>
      </w:pPr>
      <w:r>
        <w:separator/>
      </w:r>
    </w:p>
  </w:footnote>
  <w:footnote w:type="continuationSeparator" w:id="0">
    <w:p w14:paraId="7B53A2BD" w14:textId="77777777" w:rsidR="001B5022" w:rsidRDefault="001B50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40A22" w14:textId="448F8C3C" w:rsidR="0041017A" w:rsidRDefault="0041017A">
    <w:pPr>
      <w:pStyle w:val="Header"/>
    </w:pPr>
  </w:p>
  <w:p w14:paraId="476582B9" w14:textId="1FA81BE6" w:rsidR="006E44C6" w:rsidRDefault="0041017A">
    <w:pPr>
      <w:contextualSpacing w:val="0"/>
      <w:rPr>
        <w:color w:val="666666"/>
      </w:rPr>
    </w:pPr>
    <w:r>
      <w:rPr>
        <w:noProof/>
      </w:rPr>
      <w:drawing>
        <wp:anchor distT="114300" distB="114300" distL="114300" distR="114300" simplePos="0" relativeHeight="251661312" behindDoc="0" locked="0" layoutInCell="1" hidden="0" allowOverlap="1" wp14:anchorId="7722F1FB" wp14:editId="5368C472">
          <wp:simplePos x="0" y="0"/>
          <wp:positionH relativeFrom="margin">
            <wp:posOffset>4200525</wp:posOffset>
          </wp:positionH>
          <wp:positionV relativeFrom="paragraph">
            <wp:posOffset>95885</wp:posOffset>
          </wp:positionV>
          <wp:extent cx="1600200" cy="466725"/>
          <wp:effectExtent l="0" t="0" r="0" b="9525"/>
          <wp:wrapTopAndBottom distT="114300" distB="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00200" cy="4667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10090001"/>
    <w:lvl w:ilvl="0">
      <w:start w:val="1"/>
      <w:numFmt w:val="bullet"/>
      <w:lvlText w:val=""/>
      <w:lvlJc w:val="left"/>
      <w:pPr>
        <w:ind w:left="720" w:hanging="360"/>
      </w:pPr>
      <w:rPr>
        <w:rFonts w:ascii="Symbol" w:hAnsi="Symbol" w:hint="default"/>
      </w:rPr>
    </w:lvl>
  </w:abstractNum>
  <w:abstractNum w:abstractNumId="1" w15:restartNumberingAfterBreak="0">
    <w:nsid w:val="16237494"/>
    <w:multiLevelType w:val="hybridMultilevel"/>
    <w:tmpl w:val="6B0C1C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163532DC"/>
    <w:multiLevelType w:val="hybridMultilevel"/>
    <w:tmpl w:val="9C2E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90BEA"/>
    <w:multiLevelType w:val="hybridMultilevel"/>
    <w:tmpl w:val="6A5CEBA6"/>
    <w:lvl w:ilvl="0" w:tplc="52C4AEEE">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E63809"/>
    <w:multiLevelType w:val="multilevel"/>
    <w:tmpl w:val="D0641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A606E1"/>
    <w:multiLevelType w:val="hybridMultilevel"/>
    <w:tmpl w:val="4DECBC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AAB4C06"/>
    <w:multiLevelType w:val="hybridMultilevel"/>
    <w:tmpl w:val="8C32FE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FA51312"/>
    <w:multiLevelType w:val="hybridMultilevel"/>
    <w:tmpl w:val="A0264C06"/>
    <w:lvl w:ilvl="0" w:tplc="0CDA8A90">
      <w:start w:val="1"/>
      <w:numFmt w:val="bullet"/>
      <w:lvlText w:val="•"/>
      <w:lvlJc w:val="left"/>
      <w:pPr>
        <w:tabs>
          <w:tab w:val="num" w:pos="720"/>
        </w:tabs>
        <w:ind w:left="720" w:hanging="360"/>
      </w:pPr>
      <w:rPr>
        <w:rFonts w:ascii="Arial" w:hAnsi="Arial" w:hint="default"/>
      </w:rPr>
    </w:lvl>
    <w:lvl w:ilvl="1" w:tplc="2DA6C014">
      <w:start w:val="2237"/>
      <w:numFmt w:val="bullet"/>
      <w:lvlText w:val="•"/>
      <w:lvlJc w:val="left"/>
      <w:pPr>
        <w:tabs>
          <w:tab w:val="num" w:pos="1440"/>
        </w:tabs>
        <w:ind w:left="1440" w:hanging="360"/>
      </w:pPr>
      <w:rPr>
        <w:rFonts w:ascii="Arial" w:hAnsi="Arial" w:hint="default"/>
      </w:rPr>
    </w:lvl>
    <w:lvl w:ilvl="2" w:tplc="5DDE613E" w:tentative="1">
      <w:start w:val="1"/>
      <w:numFmt w:val="bullet"/>
      <w:lvlText w:val="•"/>
      <w:lvlJc w:val="left"/>
      <w:pPr>
        <w:tabs>
          <w:tab w:val="num" w:pos="2160"/>
        </w:tabs>
        <w:ind w:left="2160" w:hanging="360"/>
      </w:pPr>
      <w:rPr>
        <w:rFonts w:ascii="Arial" w:hAnsi="Arial" w:hint="default"/>
      </w:rPr>
    </w:lvl>
    <w:lvl w:ilvl="3" w:tplc="DD26B8CA" w:tentative="1">
      <w:start w:val="1"/>
      <w:numFmt w:val="bullet"/>
      <w:lvlText w:val="•"/>
      <w:lvlJc w:val="left"/>
      <w:pPr>
        <w:tabs>
          <w:tab w:val="num" w:pos="2880"/>
        </w:tabs>
        <w:ind w:left="2880" w:hanging="360"/>
      </w:pPr>
      <w:rPr>
        <w:rFonts w:ascii="Arial" w:hAnsi="Arial" w:hint="default"/>
      </w:rPr>
    </w:lvl>
    <w:lvl w:ilvl="4" w:tplc="B670883A" w:tentative="1">
      <w:start w:val="1"/>
      <w:numFmt w:val="bullet"/>
      <w:lvlText w:val="•"/>
      <w:lvlJc w:val="left"/>
      <w:pPr>
        <w:tabs>
          <w:tab w:val="num" w:pos="3600"/>
        </w:tabs>
        <w:ind w:left="3600" w:hanging="360"/>
      </w:pPr>
      <w:rPr>
        <w:rFonts w:ascii="Arial" w:hAnsi="Arial" w:hint="default"/>
      </w:rPr>
    </w:lvl>
    <w:lvl w:ilvl="5" w:tplc="C16AAB00" w:tentative="1">
      <w:start w:val="1"/>
      <w:numFmt w:val="bullet"/>
      <w:lvlText w:val="•"/>
      <w:lvlJc w:val="left"/>
      <w:pPr>
        <w:tabs>
          <w:tab w:val="num" w:pos="4320"/>
        </w:tabs>
        <w:ind w:left="4320" w:hanging="360"/>
      </w:pPr>
      <w:rPr>
        <w:rFonts w:ascii="Arial" w:hAnsi="Arial" w:hint="default"/>
      </w:rPr>
    </w:lvl>
    <w:lvl w:ilvl="6" w:tplc="B46C05C8" w:tentative="1">
      <w:start w:val="1"/>
      <w:numFmt w:val="bullet"/>
      <w:lvlText w:val="•"/>
      <w:lvlJc w:val="left"/>
      <w:pPr>
        <w:tabs>
          <w:tab w:val="num" w:pos="5040"/>
        </w:tabs>
        <w:ind w:left="5040" w:hanging="360"/>
      </w:pPr>
      <w:rPr>
        <w:rFonts w:ascii="Arial" w:hAnsi="Arial" w:hint="default"/>
      </w:rPr>
    </w:lvl>
    <w:lvl w:ilvl="7" w:tplc="306AA4CC" w:tentative="1">
      <w:start w:val="1"/>
      <w:numFmt w:val="bullet"/>
      <w:lvlText w:val="•"/>
      <w:lvlJc w:val="left"/>
      <w:pPr>
        <w:tabs>
          <w:tab w:val="num" w:pos="5760"/>
        </w:tabs>
        <w:ind w:left="5760" w:hanging="360"/>
      </w:pPr>
      <w:rPr>
        <w:rFonts w:ascii="Arial" w:hAnsi="Arial" w:hint="default"/>
      </w:rPr>
    </w:lvl>
    <w:lvl w:ilvl="8" w:tplc="CDBC457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D052579"/>
    <w:multiLevelType w:val="hybridMultilevel"/>
    <w:tmpl w:val="8EFCC390"/>
    <w:lvl w:ilvl="0" w:tplc="DEE6BC6E">
      <w:start w:val="1"/>
      <w:numFmt w:val="bullet"/>
      <w:lvlText w:val="•"/>
      <w:lvlJc w:val="left"/>
      <w:pPr>
        <w:tabs>
          <w:tab w:val="num" w:pos="720"/>
        </w:tabs>
        <w:ind w:left="720" w:hanging="360"/>
      </w:pPr>
      <w:rPr>
        <w:rFonts w:ascii="Arial" w:hAnsi="Arial" w:hint="default"/>
      </w:rPr>
    </w:lvl>
    <w:lvl w:ilvl="1" w:tplc="58087EFC" w:tentative="1">
      <w:start w:val="1"/>
      <w:numFmt w:val="bullet"/>
      <w:lvlText w:val="•"/>
      <w:lvlJc w:val="left"/>
      <w:pPr>
        <w:tabs>
          <w:tab w:val="num" w:pos="1440"/>
        </w:tabs>
        <w:ind w:left="1440" w:hanging="360"/>
      </w:pPr>
      <w:rPr>
        <w:rFonts w:ascii="Arial" w:hAnsi="Arial" w:hint="default"/>
      </w:rPr>
    </w:lvl>
    <w:lvl w:ilvl="2" w:tplc="EFB23D02" w:tentative="1">
      <w:start w:val="1"/>
      <w:numFmt w:val="bullet"/>
      <w:lvlText w:val="•"/>
      <w:lvlJc w:val="left"/>
      <w:pPr>
        <w:tabs>
          <w:tab w:val="num" w:pos="2160"/>
        </w:tabs>
        <w:ind w:left="2160" w:hanging="360"/>
      </w:pPr>
      <w:rPr>
        <w:rFonts w:ascii="Arial" w:hAnsi="Arial" w:hint="default"/>
      </w:rPr>
    </w:lvl>
    <w:lvl w:ilvl="3" w:tplc="E1785470" w:tentative="1">
      <w:start w:val="1"/>
      <w:numFmt w:val="bullet"/>
      <w:lvlText w:val="•"/>
      <w:lvlJc w:val="left"/>
      <w:pPr>
        <w:tabs>
          <w:tab w:val="num" w:pos="2880"/>
        </w:tabs>
        <w:ind w:left="2880" w:hanging="360"/>
      </w:pPr>
      <w:rPr>
        <w:rFonts w:ascii="Arial" w:hAnsi="Arial" w:hint="default"/>
      </w:rPr>
    </w:lvl>
    <w:lvl w:ilvl="4" w:tplc="A0BA69A2" w:tentative="1">
      <w:start w:val="1"/>
      <w:numFmt w:val="bullet"/>
      <w:lvlText w:val="•"/>
      <w:lvlJc w:val="left"/>
      <w:pPr>
        <w:tabs>
          <w:tab w:val="num" w:pos="3600"/>
        </w:tabs>
        <w:ind w:left="3600" w:hanging="360"/>
      </w:pPr>
      <w:rPr>
        <w:rFonts w:ascii="Arial" w:hAnsi="Arial" w:hint="default"/>
      </w:rPr>
    </w:lvl>
    <w:lvl w:ilvl="5" w:tplc="E9481B46" w:tentative="1">
      <w:start w:val="1"/>
      <w:numFmt w:val="bullet"/>
      <w:lvlText w:val="•"/>
      <w:lvlJc w:val="left"/>
      <w:pPr>
        <w:tabs>
          <w:tab w:val="num" w:pos="4320"/>
        </w:tabs>
        <w:ind w:left="4320" w:hanging="360"/>
      </w:pPr>
      <w:rPr>
        <w:rFonts w:ascii="Arial" w:hAnsi="Arial" w:hint="default"/>
      </w:rPr>
    </w:lvl>
    <w:lvl w:ilvl="6" w:tplc="C554B1FE" w:tentative="1">
      <w:start w:val="1"/>
      <w:numFmt w:val="bullet"/>
      <w:lvlText w:val="•"/>
      <w:lvlJc w:val="left"/>
      <w:pPr>
        <w:tabs>
          <w:tab w:val="num" w:pos="5040"/>
        </w:tabs>
        <w:ind w:left="5040" w:hanging="360"/>
      </w:pPr>
      <w:rPr>
        <w:rFonts w:ascii="Arial" w:hAnsi="Arial" w:hint="default"/>
      </w:rPr>
    </w:lvl>
    <w:lvl w:ilvl="7" w:tplc="02FAB1F0" w:tentative="1">
      <w:start w:val="1"/>
      <w:numFmt w:val="bullet"/>
      <w:lvlText w:val="•"/>
      <w:lvlJc w:val="left"/>
      <w:pPr>
        <w:tabs>
          <w:tab w:val="num" w:pos="5760"/>
        </w:tabs>
        <w:ind w:left="5760" w:hanging="360"/>
      </w:pPr>
      <w:rPr>
        <w:rFonts w:ascii="Arial" w:hAnsi="Arial" w:hint="default"/>
      </w:rPr>
    </w:lvl>
    <w:lvl w:ilvl="8" w:tplc="BA200A3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7787FB0"/>
    <w:multiLevelType w:val="hybridMultilevel"/>
    <w:tmpl w:val="BCBE67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7"/>
  </w:num>
  <w:num w:numId="5">
    <w:abstractNumId w:val="8"/>
  </w:num>
  <w:num w:numId="6">
    <w:abstractNumId w:val="1"/>
  </w:num>
  <w:num w:numId="7">
    <w:abstractNumId w:val="3"/>
  </w:num>
  <w:num w:numId="8">
    <w:abstractNumId w:val="6"/>
  </w:num>
  <w:num w:numId="9">
    <w:abstractNumId w:val="5"/>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4C6"/>
    <w:rsid w:val="00013E3E"/>
    <w:rsid w:val="00050BE1"/>
    <w:rsid w:val="00080B0D"/>
    <w:rsid w:val="00093ED3"/>
    <w:rsid w:val="000A23CF"/>
    <w:rsid w:val="000B3E48"/>
    <w:rsid w:val="000C0F84"/>
    <w:rsid w:val="000C3FB2"/>
    <w:rsid w:val="000C4843"/>
    <w:rsid w:val="000D1293"/>
    <w:rsid w:val="000D7DEE"/>
    <w:rsid w:val="000F66E1"/>
    <w:rsid w:val="0010554A"/>
    <w:rsid w:val="00122973"/>
    <w:rsid w:val="0012496C"/>
    <w:rsid w:val="00126434"/>
    <w:rsid w:val="00140C04"/>
    <w:rsid w:val="00144891"/>
    <w:rsid w:val="00145D9A"/>
    <w:rsid w:val="00153F49"/>
    <w:rsid w:val="00164648"/>
    <w:rsid w:val="00167EE9"/>
    <w:rsid w:val="001B5022"/>
    <w:rsid w:val="001B710B"/>
    <w:rsid w:val="001C13DF"/>
    <w:rsid w:val="001C5CD1"/>
    <w:rsid w:val="001C72D0"/>
    <w:rsid w:val="001C7BC9"/>
    <w:rsid w:val="001D73BA"/>
    <w:rsid w:val="001F04FC"/>
    <w:rsid w:val="00211415"/>
    <w:rsid w:val="002212D6"/>
    <w:rsid w:val="00224195"/>
    <w:rsid w:val="002302B1"/>
    <w:rsid w:val="002511F0"/>
    <w:rsid w:val="00261C95"/>
    <w:rsid w:val="00271AC1"/>
    <w:rsid w:val="0027269D"/>
    <w:rsid w:val="00287356"/>
    <w:rsid w:val="002A5E56"/>
    <w:rsid w:val="002C7FCB"/>
    <w:rsid w:val="00300556"/>
    <w:rsid w:val="00300E19"/>
    <w:rsid w:val="00313E1A"/>
    <w:rsid w:val="0031442F"/>
    <w:rsid w:val="0032650B"/>
    <w:rsid w:val="00342E30"/>
    <w:rsid w:val="003479E4"/>
    <w:rsid w:val="0036092F"/>
    <w:rsid w:val="0038160E"/>
    <w:rsid w:val="00387DA4"/>
    <w:rsid w:val="00397003"/>
    <w:rsid w:val="003E6EE8"/>
    <w:rsid w:val="003F0F5D"/>
    <w:rsid w:val="00407024"/>
    <w:rsid w:val="0041017A"/>
    <w:rsid w:val="00416124"/>
    <w:rsid w:val="00417F80"/>
    <w:rsid w:val="00441A66"/>
    <w:rsid w:val="00453120"/>
    <w:rsid w:val="00463C2D"/>
    <w:rsid w:val="00477BC1"/>
    <w:rsid w:val="004941CB"/>
    <w:rsid w:val="00494CF0"/>
    <w:rsid w:val="00496721"/>
    <w:rsid w:val="004A6BF2"/>
    <w:rsid w:val="004B05AF"/>
    <w:rsid w:val="004B0746"/>
    <w:rsid w:val="004C1EA9"/>
    <w:rsid w:val="004E34F6"/>
    <w:rsid w:val="004E7878"/>
    <w:rsid w:val="004F0536"/>
    <w:rsid w:val="004F57BC"/>
    <w:rsid w:val="00501F9B"/>
    <w:rsid w:val="00503805"/>
    <w:rsid w:val="00542F29"/>
    <w:rsid w:val="0054532C"/>
    <w:rsid w:val="00556A6D"/>
    <w:rsid w:val="005917C6"/>
    <w:rsid w:val="00592407"/>
    <w:rsid w:val="005B1581"/>
    <w:rsid w:val="005B2F0A"/>
    <w:rsid w:val="005B58CA"/>
    <w:rsid w:val="005C5D65"/>
    <w:rsid w:val="005E2DBC"/>
    <w:rsid w:val="0060578D"/>
    <w:rsid w:val="006372D7"/>
    <w:rsid w:val="00637D68"/>
    <w:rsid w:val="00644912"/>
    <w:rsid w:val="006468E3"/>
    <w:rsid w:val="00667FAC"/>
    <w:rsid w:val="00692CA8"/>
    <w:rsid w:val="006A41C1"/>
    <w:rsid w:val="006B7EB4"/>
    <w:rsid w:val="006C1E21"/>
    <w:rsid w:val="006D062A"/>
    <w:rsid w:val="006E0CB7"/>
    <w:rsid w:val="006E26A2"/>
    <w:rsid w:val="006E319F"/>
    <w:rsid w:val="006E44C6"/>
    <w:rsid w:val="0070128B"/>
    <w:rsid w:val="00713C4E"/>
    <w:rsid w:val="0072183C"/>
    <w:rsid w:val="00767B70"/>
    <w:rsid w:val="00772918"/>
    <w:rsid w:val="007B5DAA"/>
    <w:rsid w:val="007C23BE"/>
    <w:rsid w:val="007C3F30"/>
    <w:rsid w:val="007C54C0"/>
    <w:rsid w:val="007D5DCF"/>
    <w:rsid w:val="0080238E"/>
    <w:rsid w:val="008057E9"/>
    <w:rsid w:val="00817A9E"/>
    <w:rsid w:val="0082425C"/>
    <w:rsid w:val="008278AE"/>
    <w:rsid w:val="00831A71"/>
    <w:rsid w:val="00831C7B"/>
    <w:rsid w:val="008477DB"/>
    <w:rsid w:val="0086439E"/>
    <w:rsid w:val="00866E8F"/>
    <w:rsid w:val="0087605F"/>
    <w:rsid w:val="00896E75"/>
    <w:rsid w:val="008C1D93"/>
    <w:rsid w:val="008C7070"/>
    <w:rsid w:val="008D018D"/>
    <w:rsid w:val="008D4C2F"/>
    <w:rsid w:val="008E4165"/>
    <w:rsid w:val="008E674C"/>
    <w:rsid w:val="008E7EB9"/>
    <w:rsid w:val="008F59C1"/>
    <w:rsid w:val="009142F3"/>
    <w:rsid w:val="0092129A"/>
    <w:rsid w:val="00923353"/>
    <w:rsid w:val="00933A51"/>
    <w:rsid w:val="0093701F"/>
    <w:rsid w:val="00946608"/>
    <w:rsid w:val="00946C8C"/>
    <w:rsid w:val="009565B1"/>
    <w:rsid w:val="00962134"/>
    <w:rsid w:val="009A50CF"/>
    <w:rsid w:val="009B3925"/>
    <w:rsid w:val="009E55FD"/>
    <w:rsid w:val="00A111E5"/>
    <w:rsid w:val="00A11EC7"/>
    <w:rsid w:val="00A33DBF"/>
    <w:rsid w:val="00A36871"/>
    <w:rsid w:val="00A41D94"/>
    <w:rsid w:val="00A573C2"/>
    <w:rsid w:val="00A611A4"/>
    <w:rsid w:val="00A650A9"/>
    <w:rsid w:val="00AA15B5"/>
    <w:rsid w:val="00AB72F5"/>
    <w:rsid w:val="00AC5056"/>
    <w:rsid w:val="00AD3DED"/>
    <w:rsid w:val="00AE51CA"/>
    <w:rsid w:val="00AE6F19"/>
    <w:rsid w:val="00AF3395"/>
    <w:rsid w:val="00B06397"/>
    <w:rsid w:val="00B14B59"/>
    <w:rsid w:val="00B15FEB"/>
    <w:rsid w:val="00B160CF"/>
    <w:rsid w:val="00B21E5D"/>
    <w:rsid w:val="00B23DD8"/>
    <w:rsid w:val="00B348F9"/>
    <w:rsid w:val="00B35FA9"/>
    <w:rsid w:val="00B431FB"/>
    <w:rsid w:val="00B47E31"/>
    <w:rsid w:val="00B62F06"/>
    <w:rsid w:val="00B706B6"/>
    <w:rsid w:val="00B749A6"/>
    <w:rsid w:val="00B77C50"/>
    <w:rsid w:val="00B96362"/>
    <w:rsid w:val="00BA09C3"/>
    <w:rsid w:val="00BD0798"/>
    <w:rsid w:val="00BD0E05"/>
    <w:rsid w:val="00BD6360"/>
    <w:rsid w:val="00BF3BFD"/>
    <w:rsid w:val="00C063CE"/>
    <w:rsid w:val="00C10D08"/>
    <w:rsid w:val="00C152DB"/>
    <w:rsid w:val="00C44AD6"/>
    <w:rsid w:val="00C64665"/>
    <w:rsid w:val="00C83C94"/>
    <w:rsid w:val="00C926F7"/>
    <w:rsid w:val="00C96782"/>
    <w:rsid w:val="00CA0459"/>
    <w:rsid w:val="00CA602C"/>
    <w:rsid w:val="00CB45A3"/>
    <w:rsid w:val="00CB6BFE"/>
    <w:rsid w:val="00CB6CF1"/>
    <w:rsid w:val="00CD392D"/>
    <w:rsid w:val="00CF2370"/>
    <w:rsid w:val="00CF75BA"/>
    <w:rsid w:val="00D136E4"/>
    <w:rsid w:val="00D15FFF"/>
    <w:rsid w:val="00D2158A"/>
    <w:rsid w:val="00D22565"/>
    <w:rsid w:val="00D27342"/>
    <w:rsid w:val="00D27760"/>
    <w:rsid w:val="00D30E0E"/>
    <w:rsid w:val="00D47390"/>
    <w:rsid w:val="00D522A4"/>
    <w:rsid w:val="00D64C99"/>
    <w:rsid w:val="00D81014"/>
    <w:rsid w:val="00D847B9"/>
    <w:rsid w:val="00DA0F73"/>
    <w:rsid w:val="00DA24DF"/>
    <w:rsid w:val="00DA58EF"/>
    <w:rsid w:val="00DC52A0"/>
    <w:rsid w:val="00DD065D"/>
    <w:rsid w:val="00DD29D6"/>
    <w:rsid w:val="00DD2B7F"/>
    <w:rsid w:val="00DE1D40"/>
    <w:rsid w:val="00DE27A4"/>
    <w:rsid w:val="00DF3C58"/>
    <w:rsid w:val="00DF71A7"/>
    <w:rsid w:val="00E00BE0"/>
    <w:rsid w:val="00E04608"/>
    <w:rsid w:val="00E10763"/>
    <w:rsid w:val="00E2545D"/>
    <w:rsid w:val="00E31474"/>
    <w:rsid w:val="00E34C70"/>
    <w:rsid w:val="00E40778"/>
    <w:rsid w:val="00E537AA"/>
    <w:rsid w:val="00E60BA3"/>
    <w:rsid w:val="00E61F72"/>
    <w:rsid w:val="00E70789"/>
    <w:rsid w:val="00E73216"/>
    <w:rsid w:val="00E815DC"/>
    <w:rsid w:val="00E91456"/>
    <w:rsid w:val="00E91BB6"/>
    <w:rsid w:val="00EA0251"/>
    <w:rsid w:val="00EA481E"/>
    <w:rsid w:val="00EA4A03"/>
    <w:rsid w:val="00EB079F"/>
    <w:rsid w:val="00EB16B7"/>
    <w:rsid w:val="00EB5E4D"/>
    <w:rsid w:val="00EC365D"/>
    <w:rsid w:val="00EC6646"/>
    <w:rsid w:val="00EE11C9"/>
    <w:rsid w:val="00F07824"/>
    <w:rsid w:val="00F2052F"/>
    <w:rsid w:val="00F277AE"/>
    <w:rsid w:val="00F310D8"/>
    <w:rsid w:val="00F57457"/>
    <w:rsid w:val="00F661C6"/>
    <w:rsid w:val="00F67E6F"/>
    <w:rsid w:val="00F86721"/>
    <w:rsid w:val="00F90717"/>
    <w:rsid w:val="00F96D06"/>
    <w:rsid w:val="00FA7D7F"/>
    <w:rsid w:val="00FC2E35"/>
    <w:rsid w:val="00FE01A2"/>
    <w:rsid w:val="00FF24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F3EF9"/>
  <w15:docId w15:val="{9AFF6CD7-CB1E-4DF4-A60B-CA59E08B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CA" w:eastAsia="en-CA"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E91BB6"/>
    <w:pPr>
      <w:tabs>
        <w:tab w:val="center" w:pos="4680"/>
        <w:tab w:val="right" w:pos="9360"/>
      </w:tabs>
      <w:spacing w:line="240" w:lineRule="auto"/>
    </w:pPr>
  </w:style>
  <w:style w:type="character" w:customStyle="1" w:styleId="HeaderChar">
    <w:name w:val="Header Char"/>
    <w:basedOn w:val="DefaultParagraphFont"/>
    <w:link w:val="Header"/>
    <w:uiPriority w:val="99"/>
    <w:rsid w:val="00E91BB6"/>
  </w:style>
  <w:style w:type="paragraph" w:styleId="Footer">
    <w:name w:val="footer"/>
    <w:basedOn w:val="Normal"/>
    <w:link w:val="FooterChar"/>
    <w:uiPriority w:val="99"/>
    <w:unhideWhenUsed/>
    <w:rsid w:val="00E91BB6"/>
    <w:pPr>
      <w:tabs>
        <w:tab w:val="center" w:pos="4680"/>
        <w:tab w:val="right" w:pos="9360"/>
      </w:tabs>
      <w:spacing w:line="240" w:lineRule="auto"/>
    </w:pPr>
  </w:style>
  <w:style w:type="character" w:customStyle="1" w:styleId="FooterChar">
    <w:name w:val="Footer Char"/>
    <w:basedOn w:val="DefaultParagraphFont"/>
    <w:link w:val="Footer"/>
    <w:uiPriority w:val="99"/>
    <w:rsid w:val="00E91BB6"/>
  </w:style>
  <w:style w:type="paragraph" w:styleId="BalloonText">
    <w:name w:val="Balloon Text"/>
    <w:basedOn w:val="Normal"/>
    <w:link w:val="BalloonTextChar"/>
    <w:uiPriority w:val="99"/>
    <w:semiHidden/>
    <w:unhideWhenUsed/>
    <w:rsid w:val="00E91B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BB6"/>
    <w:rPr>
      <w:rFonts w:ascii="Tahoma" w:hAnsi="Tahoma" w:cs="Tahoma"/>
      <w:sz w:val="16"/>
      <w:szCs w:val="16"/>
    </w:rPr>
  </w:style>
  <w:style w:type="paragraph" w:styleId="EndnoteText">
    <w:name w:val="endnote text"/>
    <w:basedOn w:val="Normal"/>
    <w:link w:val="EndnoteTextChar"/>
    <w:uiPriority w:val="99"/>
    <w:semiHidden/>
    <w:unhideWhenUsed/>
    <w:rsid w:val="00342E30"/>
    <w:pPr>
      <w:spacing w:line="240" w:lineRule="auto"/>
    </w:pPr>
    <w:rPr>
      <w:sz w:val="20"/>
      <w:szCs w:val="20"/>
    </w:rPr>
  </w:style>
  <w:style w:type="character" w:customStyle="1" w:styleId="EndnoteTextChar">
    <w:name w:val="Endnote Text Char"/>
    <w:basedOn w:val="DefaultParagraphFont"/>
    <w:link w:val="EndnoteText"/>
    <w:uiPriority w:val="99"/>
    <w:semiHidden/>
    <w:rsid w:val="00342E30"/>
    <w:rPr>
      <w:sz w:val="20"/>
      <w:szCs w:val="20"/>
    </w:rPr>
  </w:style>
  <w:style w:type="character" w:styleId="EndnoteReference">
    <w:name w:val="endnote reference"/>
    <w:basedOn w:val="DefaultParagraphFont"/>
    <w:uiPriority w:val="99"/>
    <w:semiHidden/>
    <w:unhideWhenUsed/>
    <w:rsid w:val="00342E30"/>
    <w:rPr>
      <w:vertAlign w:val="superscript"/>
    </w:rPr>
  </w:style>
  <w:style w:type="character" w:styleId="CommentReference">
    <w:name w:val="annotation reference"/>
    <w:basedOn w:val="DefaultParagraphFont"/>
    <w:uiPriority w:val="99"/>
    <w:semiHidden/>
    <w:unhideWhenUsed/>
    <w:rsid w:val="00342E30"/>
    <w:rPr>
      <w:sz w:val="16"/>
      <w:szCs w:val="16"/>
    </w:rPr>
  </w:style>
  <w:style w:type="paragraph" w:styleId="CommentText">
    <w:name w:val="annotation text"/>
    <w:basedOn w:val="Normal"/>
    <w:link w:val="CommentTextChar"/>
    <w:uiPriority w:val="99"/>
    <w:semiHidden/>
    <w:unhideWhenUsed/>
    <w:rsid w:val="00342E30"/>
    <w:pPr>
      <w:spacing w:line="240" w:lineRule="auto"/>
    </w:pPr>
    <w:rPr>
      <w:sz w:val="20"/>
      <w:szCs w:val="20"/>
    </w:rPr>
  </w:style>
  <w:style w:type="character" w:customStyle="1" w:styleId="CommentTextChar">
    <w:name w:val="Comment Text Char"/>
    <w:basedOn w:val="DefaultParagraphFont"/>
    <w:link w:val="CommentText"/>
    <w:uiPriority w:val="99"/>
    <w:semiHidden/>
    <w:rsid w:val="00342E30"/>
    <w:rPr>
      <w:sz w:val="20"/>
      <w:szCs w:val="20"/>
    </w:rPr>
  </w:style>
  <w:style w:type="paragraph" w:styleId="CommentSubject">
    <w:name w:val="annotation subject"/>
    <w:basedOn w:val="CommentText"/>
    <w:next w:val="CommentText"/>
    <w:link w:val="CommentSubjectChar"/>
    <w:uiPriority w:val="99"/>
    <w:semiHidden/>
    <w:unhideWhenUsed/>
    <w:rsid w:val="00342E30"/>
    <w:rPr>
      <w:b/>
      <w:bCs/>
    </w:rPr>
  </w:style>
  <w:style w:type="character" w:customStyle="1" w:styleId="CommentSubjectChar">
    <w:name w:val="Comment Subject Char"/>
    <w:basedOn w:val="CommentTextChar"/>
    <w:link w:val="CommentSubject"/>
    <w:uiPriority w:val="99"/>
    <w:semiHidden/>
    <w:rsid w:val="00342E30"/>
    <w:rPr>
      <w:b/>
      <w:bCs/>
      <w:sz w:val="20"/>
      <w:szCs w:val="20"/>
    </w:rPr>
  </w:style>
  <w:style w:type="character" w:styleId="Hyperlink">
    <w:name w:val="Hyperlink"/>
    <w:basedOn w:val="DefaultParagraphFont"/>
    <w:uiPriority w:val="99"/>
    <w:unhideWhenUsed/>
    <w:rsid w:val="006B7EB4"/>
    <w:rPr>
      <w:color w:val="0000FF" w:themeColor="hyperlink"/>
      <w:u w:val="single"/>
    </w:rPr>
  </w:style>
  <w:style w:type="paragraph" w:styleId="NormalWeb">
    <w:name w:val="Normal (Web)"/>
    <w:basedOn w:val="Normal"/>
    <w:uiPriority w:val="99"/>
    <w:unhideWhenUsed/>
    <w:rsid w:val="00AC5056"/>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customStyle="1" w:styleId="tooltipsall">
    <w:name w:val="tooltipsall"/>
    <w:basedOn w:val="DefaultParagraphFont"/>
    <w:rsid w:val="00AC5056"/>
  </w:style>
  <w:style w:type="paragraph" w:customStyle="1" w:styleId="Level1">
    <w:name w:val="Level 1"/>
    <w:basedOn w:val="Normal"/>
    <w:rsid w:val="00B14B59"/>
    <w:pPr>
      <w:widowControl w:val="0"/>
      <w:spacing w:line="240" w:lineRule="auto"/>
      <w:contextualSpacing w:val="0"/>
    </w:pPr>
    <w:rPr>
      <w:rFonts w:ascii="Times New Roman" w:eastAsia="Times New Roman" w:hAnsi="Times New Roman" w:cs="Times New Roman"/>
      <w:sz w:val="24"/>
      <w:szCs w:val="20"/>
    </w:rPr>
  </w:style>
  <w:style w:type="paragraph" w:styleId="ListParagraph">
    <w:name w:val="List Paragraph"/>
    <w:basedOn w:val="Normal"/>
    <w:uiPriority w:val="34"/>
    <w:qFormat/>
    <w:rsid w:val="00B14B59"/>
    <w:pPr>
      <w:spacing w:line="240" w:lineRule="auto"/>
      <w:ind w:left="720"/>
      <w:contextualSpacing w:val="0"/>
    </w:pPr>
    <w:rPr>
      <w:rFonts w:ascii="Calibri" w:eastAsiaTheme="minorHAnsi" w:hAnsi="Calibri" w:cs="Times New Roman"/>
      <w:lang w:eastAsia="en-US"/>
    </w:rPr>
  </w:style>
  <w:style w:type="character" w:styleId="Emphasis">
    <w:name w:val="Emphasis"/>
    <w:basedOn w:val="DefaultParagraphFont"/>
    <w:uiPriority w:val="20"/>
    <w:qFormat/>
    <w:rsid w:val="00FA7D7F"/>
    <w:rPr>
      <w:i/>
      <w:iCs/>
    </w:rPr>
  </w:style>
  <w:style w:type="character" w:styleId="FollowedHyperlink">
    <w:name w:val="FollowedHyperlink"/>
    <w:basedOn w:val="DefaultParagraphFont"/>
    <w:uiPriority w:val="99"/>
    <w:semiHidden/>
    <w:unhideWhenUsed/>
    <w:rsid w:val="00EA481E"/>
    <w:rPr>
      <w:color w:val="800080" w:themeColor="followedHyperlink"/>
      <w:u w:val="single"/>
    </w:rPr>
  </w:style>
  <w:style w:type="paragraph" w:customStyle="1" w:styleId="Default">
    <w:name w:val="Default"/>
    <w:rsid w:val="00407024"/>
    <w:pPr>
      <w:autoSpaceDE w:val="0"/>
      <w:autoSpaceDN w:val="0"/>
      <w:adjustRightInd w:val="0"/>
      <w:spacing w:line="240" w:lineRule="auto"/>
      <w:contextualSpacing w:val="0"/>
    </w:pPr>
    <w:rPr>
      <w:rFonts w:ascii="Times New Roman" w:hAnsi="Times New Roman" w:cs="Times New Roman"/>
      <w:color w:val="000000"/>
      <w:sz w:val="24"/>
      <w:szCs w:val="24"/>
    </w:rPr>
  </w:style>
  <w:style w:type="character" w:customStyle="1" w:styleId="xn-person">
    <w:name w:val="xn-person"/>
    <w:basedOn w:val="DefaultParagraphFont"/>
    <w:rsid w:val="008C7070"/>
  </w:style>
  <w:style w:type="paragraph" w:styleId="NoSpacing">
    <w:name w:val="No Spacing"/>
    <w:uiPriority w:val="1"/>
    <w:qFormat/>
    <w:rsid w:val="00FC2E35"/>
    <w:pPr>
      <w:spacing w:line="240" w:lineRule="auto"/>
      <w:contextualSpacing w:val="0"/>
    </w:pPr>
    <w:rPr>
      <w:rFonts w:asciiTheme="minorHAnsi" w:eastAsiaTheme="minorHAnsi" w:hAnsiTheme="minorHAnsi" w:cstheme="minorBidi"/>
      <w:lang w:eastAsia="en-US"/>
    </w:rPr>
  </w:style>
  <w:style w:type="character" w:customStyle="1" w:styleId="BodyChar">
    <w:name w:val="Body Char"/>
    <w:basedOn w:val="DefaultParagraphFont"/>
    <w:link w:val="Body"/>
    <w:locked/>
    <w:rsid w:val="00767B70"/>
  </w:style>
  <w:style w:type="paragraph" w:customStyle="1" w:styleId="Body">
    <w:name w:val="Body"/>
    <w:basedOn w:val="Normal"/>
    <w:link w:val="BodyChar"/>
    <w:rsid w:val="00767B70"/>
    <w:pPr>
      <w:spacing w:line="240" w:lineRule="auto"/>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8550">
      <w:bodyDiv w:val="1"/>
      <w:marLeft w:val="0"/>
      <w:marRight w:val="0"/>
      <w:marTop w:val="0"/>
      <w:marBottom w:val="0"/>
      <w:divBdr>
        <w:top w:val="none" w:sz="0" w:space="0" w:color="auto"/>
        <w:left w:val="none" w:sz="0" w:space="0" w:color="auto"/>
        <w:bottom w:val="none" w:sz="0" w:space="0" w:color="auto"/>
        <w:right w:val="none" w:sz="0" w:space="0" w:color="auto"/>
      </w:divBdr>
    </w:div>
    <w:div w:id="51470746">
      <w:bodyDiv w:val="1"/>
      <w:marLeft w:val="0"/>
      <w:marRight w:val="0"/>
      <w:marTop w:val="0"/>
      <w:marBottom w:val="0"/>
      <w:divBdr>
        <w:top w:val="none" w:sz="0" w:space="0" w:color="auto"/>
        <w:left w:val="none" w:sz="0" w:space="0" w:color="auto"/>
        <w:bottom w:val="none" w:sz="0" w:space="0" w:color="auto"/>
        <w:right w:val="none" w:sz="0" w:space="0" w:color="auto"/>
      </w:divBdr>
    </w:div>
    <w:div w:id="95639083">
      <w:bodyDiv w:val="1"/>
      <w:marLeft w:val="0"/>
      <w:marRight w:val="0"/>
      <w:marTop w:val="0"/>
      <w:marBottom w:val="0"/>
      <w:divBdr>
        <w:top w:val="none" w:sz="0" w:space="0" w:color="auto"/>
        <w:left w:val="none" w:sz="0" w:space="0" w:color="auto"/>
        <w:bottom w:val="none" w:sz="0" w:space="0" w:color="auto"/>
        <w:right w:val="none" w:sz="0" w:space="0" w:color="auto"/>
      </w:divBdr>
      <w:divsChild>
        <w:div w:id="996803247">
          <w:marLeft w:val="274"/>
          <w:marRight w:val="0"/>
          <w:marTop w:val="0"/>
          <w:marBottom w:val="0"/>
          <w:divBdr>
            <w:top w:val="none" w:sz="0" w:space="0" w:color="auto"/>
            <w:left w:val="none" w:sz="0" w:space="0" w:color="auto"/>
            <w:bottom w:val="none" w:sz="0" w:space="0" w:color="auto"/>
            <w:right w:val="none" w:sz="0" w:space="0" w:color="auto"/>
          </w:divBdr>
        </w:div>
      </w:divsChild>
    </w:div>
    <w:div w:id="267591564">
      <w:bodyDiv w:val="1"/>
      <w:marLeft w:val="0"/>
      <w:marRight w:val="0"/>
      <w:marTop w:val="0"/>
      <w:marBottom w:val="0"/>
      <w:divBdr>
        <w:top w:val="none" w:sz="0" w:space="0" w:color="auto"/>
        <w:left w:val="none" w:sz="0" w:space="0" w:color="auto"/>
        <w:bottom w:val="none" w:sz="0" w:space="0" w:color="auto"/>
        <w:right w:val="none" w:sz="0" w:space="0" w:color="auto"/>
      </w:divBdr>
    </w:div>
    <w:div w:id="349795484">
      <w:bodyDiv w:val="1"/>
      <w:marLeft w:val="0"/>
      <w:marRight w:val="0"/>
      <w:marTop w:val="0"/>
      <w:marBottom w:val="0"/>
      <w:divBdr>
        <w:top w:val="none" w:sz="0" w:space="0" w:color="auto"/>
        <w:left w:val="none" w:sz="0" w:space="0" w:color="auto"/>
        <w:bottom w:val="none" w:sz="0" w:space="0" w:color="auto"/>
        <w:right w:val="none" w:sz="0" w:space="0" w:color="auto"/>
      </w:divBdr>
    </w:div>
    <w:div w:id="458496737">
      <w:bodyDiv w:val="1"/>
      <w:marLeft w:val="0"/>
      <w:marRight w:val="0"/>
      <w:marTop w:val="0"/>
      <w:marBottom w:val="0"/>
      <w:divBdr>
        <w:top w:val="none" w:sz="0" w:space="0" w:color="auto"/>
        <w:left w:val="none" w:sz="0" w:space="0" w:color="auto"/>
        <w:bottom w:val="none" w:sz="0" w:space="0" w:color="auto"/>
        <w:right w:val="none" w:sz="0" w:space="0" w:color="auto"/>
      </w:divBdr>
    </w:div>
    <w:div w:id="561477648">
      <w:bodyDiv w:val="1"/>
      <w:marLeft w:val="0"/>
      <w:marRight w:val="0"/>
      <w:marTop w:val="0"/>
      <w:marBottom w:val="0"/>
      <w:divBdr>
        <w:top w:val="none" w:sz="0" w:space="0" w:color="auto"/>
        <w:left w:val="none" w:sz="0" w:space="0" w:color="auto"/>
        <w:bottom w:val="none" w:sz="0" w:space="0" w:color="auto"/>
        <w:right w:val="none" w:sz="0" w:space="0" w:color="auto"/>
      </w:divBdr>
    </w:div>
    <w:div w:id="604505815">
      <w:bodyDiv w:val="1"/>
      <w:marLeft w:val="0"/>
      <w:marRight w:val="0"/>
      <w:marTop w:val="0"/>
      <w:marBottom w:val="0"/>
      <w:divBdr>
        <w:top w:val="none" w:sz="0" w:space="0" w:color="auto"/>
        <w:left w:val="none" w:sz="0" w:space="0" w:color="auto"/>
        <w:bottom w:val="none" w:sz="0" w:space="0" w:color="auto"/>
        <w:right w:val="none" w:sz="0" w:space="0" w:color="auto"/>
      </w:divBdr>
      <w:divsChild>
        <w:div w:id="1095902067">
          <w:marLeft w:val="0"/>
          <w:marRight w:val="0"/>
          <w:marTop w:val="0"/>
          <w:marBottom w:val="0"/>
          <w:divBdr>
            <w:top w:val="single" w:sz="6" w:space="11" w:color="F0F0F0"/>
            <w:left w:val="single" w:sz="6" w:space="15" w:color="F0F0F0"/>
            <w:bottom w:val="single" w:sz="6" w:space="11" w:color="F0F0F0"/>
            <w:right w:val="single" w:sz="6" w:space="15" w:color="F0F0F0"/>
          </w:divBdr>
          <w:divsChild>
            <w:div w:id="1026440014">
              <w:marLeft w:val="0"/>
              <w:marRight w:val="0"/>
              <w:marTop w:val="0"/>
              <w:marBottom w:val="0"/>
              <w:divBdr>
                <w:top w:val="none" w:sz="0" w:space="0" w:color="auto"/>
                <w:left w:val="none" w:sz="0" w:space="0" w:color="auto"/>
                <w:bottom w:val="none" w:sz="0" w:space="0" w:color="auto"/>
                <w:right w:val="none" w:sz="0" w:space="0" w:color="auto"/>
              </w:divBdr>
              <w:divsChild>
                <w:div w:id="149548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4063">
      <w:bodyDiv w:val="1"/>
      <w:marLeft w:val="0"/>
      <w:marRight w:val="0"/>
      <w:marTop w:val="0"/>
      <w:marBottom w:val="0"/>
      <w:divBdr>
        <w:top w:val="none" w:sz="0" w:space="0" w:color="auto"/>
        <w:left w:val="none" w:sz="0" w:space="0" w:color="auto"/>
        <w:bottom w:val="none" w:sz="0" w:space="0" w:color="auto"/>
        <w:right w:val="none" w:sz="0" w:space="0" w:color="auto"/>
      </w:divBdr>
    </w:div>
    <w:div w:id="711266149">
      <w:bodyDiv w:val="1"/>
      <w:marLeft w:val="0"/>
      <w:marRight w:val="0"/>
      <w:marTop w:val="0"/>
      <w:marBottom w:val="0"/>
      <w:divBdr>
        <w:top w:val="none" w:sz="0" w:space="0" w:color="auto"/>
        <w:left w:val="none" w:sz="0" w:space="0" w:color="auto"/>
        <w:bottom w:val="none" w:sz="0" w:space="0" w:color="auto"/>
        <w:right w:val="none" w:sz="0" w:space="0" w:color="auto"/>
      </w:divBdr>
    </w:div>
    <w:div w:id="831027023">
      <w:bodyDiv w:val="1"/>
      <w:marLeft w:val="0"/>
      <w:marRight w:val="0"/>
      <w:marTop w:val="0"/>
      <w:marBottom w:val="0"/>
      <w:divBdr>
        <w:top w:val="none" w:sz="0" w:space="0" w:color="auto"/>
        <w:left w:val="none" w:sz="0" w:space="0" w:color="auto"/>
        <w:bottom w:val="none" w:sz="0" w:space="0" w:color="auto"/>
        <w:right w:val="none" w:sz="0" w:space="0" w:color="auto"/>
      </w:divBdr>
    </w:div>
    <w:div w:id="948506285">
      <w:bodyDiv w:val="1"/>
      <w:marLeft w:val="0"/>
      <w:marRight w:val="0"/>
      <w:marTop w:val="0"/>
      <w:marBottom w:val="0"/>
      <w:divBdr>
        <w:top w:val="none" w:sz="0" w:space="0" w:color="auto"/>
        <w:left w:val="none" w:sz="0" w:space="0" w:color="auto"/>
        <w:bottom w:val="none" w:sz="0" w:space="0" w:color="auto"/>
        <w:right w:val="none" w:sz="0" w:space="0" w:color="auto"/>
      </w:divBdr>
    </w:div>
    <w:div w:id="1151680271">
      <w:bodyDiv w:val="1"/>
      <w:marLeft w:val="0"/>
      <w:marRight w:val="0"/>
      <w:marTop w:val="0"/>
      <w:marBottom w:val="0"/>
      <w:divBdr>
        <w:top w:val="none" w:sz="0" w:space="0" w:color="auto"/>
        <w:left w:val="none" w:sz="0" w:space="0" w:color="auto"/>
        <w:bottom w:val="none" w:sz="0" w:space="0" w:color="auto"/>
        <w:right w:val="none" w:sz="0" w:space="0" w:color="auto"/>
      </w:divBdr>
    </w:div>
    <w:div w:id="1163860245">
      <w:bodyDiv w:val="1"/>
      <w:marLeft w:val="0"/>
      <w:marRight w:val="0"/>
      <w:marTop w:val="0"/>
      <w:marBottom w:val="0"/>
      <w:divBdr>
        <w:top w:val="none" w:sz="0" w:space="0" w:color="auto"/>
        <w:left w:val="none" w:sz="0" w:space="0" w:color="auto"/>
        <w:bottom w:val="none" w:sz="0" w:space="0" w:color="auto"/>
        <w:right w:val="none" w:sz="0" w:space="0" w:color="auto"/>
      </w:divBdr>
      <w:divsChild>
        <w:div w:id="229073885">
          <w:marLeft w:val="274"/>
          <w:marRight w:val="0"/>
          <w:marTop w:val="0"/>
          <w:marBottom w:val="0"/>
          <w:divBdr>
            <w:top w:val="none" w:sz="0" w:space="0" w:color="auto"/>
            <w:left w:val="none" w:sz="0" w:space="0" w:color="auto"/>
            <w:bottom w:val="none" w:sz="0" w:space="0" w:color="auto"/>
            <w:right w:val="none" w:sz="0" w:space="0" w:color="auto"/>
          </w:divBdr>
        </w:div>
        <w:div w:id="649673855">
          <w:marLeft w:val="274"/>
          <w:marRight w:val="0"/>
          <w:marTop w:val="0"/>
          <w:marBottom w:val="0"/>
          <w:divBdr>
            <w:top w:val="none" w:sz="0" w:space="0" w:color="auto"/>
            <w:left w:val="none" w:sz="0" w:space="0" w:color="auto"/>
            <w:bottom w:val="none" w:sz="0" w:space="0" w:color="auto"/>
            <w:right w:val="none" w:sz="0" w:space="0" w:color="auto"/>
          </w:divBdr>
        </w:div>
        <w:div w:id="277183531">
          <w:marLeft w:val="274"/>
          <w:marRight w:val="0"/>
          <w:marTop w:val="0"/>
          <w:marBottom w:val="0"/>
          <w:divBdr>
            <w:top w:val="none" w:sz="0" w:space="0" w:color="auto"/>
            <w:left w:val="none" w:sz="0" w:space="0" w:color="auto"/>
            <w:bottom w:val="none" w:sz="0" w:space="0" w:color="auto"/>
            <w:right w:val="none" w:sz="0" w:space="0" w:color="auto"/>
          </w:divBdr>
        </w:div>
        <w:div w:id="578055788">
          <w:marLeft w:val="994"/>
          <w:marRight w:val="0"/>
          <w:marTop w:val="0"/>
          <w:marBottom w:val="0"/>
          <w:divBdr>
            <w:top w:val="none" w:sz="0" w:space="0" w:color="auto"/>
            <w:left w:val="none" w:sz="0" w:space="0" w:color="auto"/>
            <w:bottom w:val="none" w:sz="0" w:space="0" w:color="auto"/>
            <w:right w:val="none" w:sz="0" w:space="0" w:color="auto"/>
          </w:divBdr>
        </w:div>
      </w:divsChild>
    </w:div>
    <w:div w:id="1172136846">
      <w:bodyDiv w:val="1"/>
      <w:marLeft w:val="0"/>
      <w:marRight w:val="0"/>
      <w:marTop w:val="0"/>
      <w:marBottom w:val="0"/>
      <w:divBdr>
        <w:top w:val="none" w:sz="0" w:space="0" w:color="auto"/>
        <w:left w:val="none" w:sz="0" w:space="0" w:color="auto"/>
        <w:bottom w:val="none" w:sz="0" w:space="0" w:color="auto"/>
        <w:right w:val="none" w:sz="0" w:space="0" w:color="auto"/>
      </w:divBdr>
      <w:divsChild>
        <w:div w:id="1216821137">
          <w:marLeft w:val="0"/>
          <w:marRight w:val="0"/>
          <w:marTop w:val="0"/>
          <w:marBottom w:val="0"/>
          <w:divBdr>
            <w:top w:val="none" w:sz="0" w:space="0" w:color="auto"/>
            <w:left w:val="none" w:sz="0" w:space="0" w:color="auto"/>
            <w:bottom w:val="none" w:sz="0" w:space="0" w:color="auto"/>
            <w:right w:val="none" w:sz="0" w:space="0" w:color="auto"/>
          </w:divBdr>
        </w:div>
      </w:divsChild>
    </w:div>
    <w:div w:id="1292059312">
      <w:bodyDiv w:val="1"/>
      <w:marLeft w:val="0"/>
      <w:marRight w:val="0"/>
      <w:marTop w:val="0"/>
      <w:marBottom w:val="0"/>
      <w:divBdr>
        <w:top w:val="none" w:sz="0" w:space="0" w:color="auto"/>
        <w:left w:val="none" w:sz="0" w:space="0" w:color="auto"/>
        <w:bottom w:val="none" w:sz="0" w:space="0" w:color="auto"/>
        <w:right w:val="none" w:sz="0" w:space="0" w:color="auto"/>
      </w:divBdr>
    </w:div>
    <w:div w:id="1309240280">
      <w:bodyDiv w:val="1"/>
      <w:marLeft w:val="0"/>
      <w:marRight w:val="0"/>
      <w:marTop w:val="0"/>
      <w:marBottom w:val="0"/>
      <w:divBdr>
        <w:top w:val="none" w:sz="0" w:space="0" w:color="auto"/>
        <w:left w:val="none" w:sz="0" w:space="0" w:color="auto"/>
        <w:bottom w:val="none" w:sz="0" w:space="0" w:color="auto"/>
        <w:right w:val="none" w:sz="0" w:space="0" w:color="auto"/>
      </w:divBdr>
    </w:div>
    <w:div w:id="1820613220">
      <w:bodyDiv w:val="1"/>
      <w:marLeft w:val="0"/>
      <w:marRight w:val="0"/>
      <w:marTop w:val="0"/>
      <w:marBottom w:val="0"/>
      <w:divBdr>
        <w:top w:val="none" w:sz="0" w:space="0" w:color="auto"/>
        <w:left w:val="none" w:sz="0" w:space="0" w:color="auto"/>
        <w:bottom w:val="none" w:sz="0" w:space="0" w:color="auto"/>
        <w:right w:val="none" w:sz="0" w:space="0" w:color="auto"/>
      </w:divBdr>
    </w:div>
    <w:div w:id="1941987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se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se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psen.ca/" TargetMode="External"/><Relationship Id="rId4" Type="http://schemas.openxmlformats.org/officeDocument/2006/relationships/settings" Target="settings.xml"/><Relationship Id="rId9" Type="http://schemas.openxmlformats.org/officeDocument/2006/relationships/hyperlink" Target="http://www.ipsen.ca/"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canadianpituitary.org/acromegaly-awareness-day" TargetMode="External"/><Relationship Id="rId1" Type="http://schemas.openxmlformats.org/officeDocument/2006/relationships/hyperlink" Target="https://cnetscanada.org/wp-content/uploads/2016/03/2014-NETS-One-Pager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5AA52-364F-4ED8-82C3-D98B64FF2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Zaidi, Sheba</dc:creator>
  <cp:lastModifiedBy>Mackenzie Patterson</cp:lastModifiedBy>
  <cp:revision>2</cp:revision>
  <dcterms:created xsi:type="dcterms:W3CDTF">2020-01-02T16:39:00Z</dcterms:created>
  <dcterms:modified xsi:type="dcterms:W3CDTF">2020-01-02T16:39:00Z</dcterms:modified>
</cp:coreProperties>
</file>