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04259" w14:textId="1EBA50FA" w:rsidR="00033D26" w:rsidRDefault="0085592B" w:rsidP="0085592B">
      <w:pPr>
        <w:pStyle w:val="Normln1"/>
        <w:spacing w:line="240" w:lineRule="auto"/>
        <w:jc w:val="center"/>
        <w:rPr>
          <w:b/>
          <w:szCs w:val="22"/>
        </w:rPr>
      </w:pPr>
      <w:r w:rsidRPr="0085592B">
        <w:rPr>
          <w:b/>
          <w:szCs w:val="22"/>
        </w:rPr>
        <w:t>SOUHRN ÚDAJŮ O PŘÍPRAVKU</w:t>
      </w:r>
    </w:p>
    <w:p w14:paraId="6CC15472" w14:textId="77777777" w:rsidR="0085592B" w:rsidRPr="0085592B" w:rsidRDefault="0085592B" w:rsidP="0085592B">
      <w:pPr>
        <w:pStyle w:val="Normln1"/>
        <w:spacing w:line="240" w:lineRule="auto"/>
        <w:jc w:val="center"/>
        <w:rPr>
          <w:b/>
          <w:szCs w:val="22"/>
        </w:rPr>
      </w:pPr>
    </w:p>
    <w:p w14:paraId="680E4B23" w14:textId="77777777" w:rsidR="00812D16" w:rsidRPr="003626AF" w:rsidRDefault="001E3814" w:rsidP="00AD7832">
      <w:pPr>
        <w:pStyle w:val="Normln1"/>
        <w:keepNext/>
        <w:numPr>
          <w:ilvl w:val="0"/>
          <w:numId w:val="1"/>
        </w:numPr>
        <w:suppressAutoHyphens/>
        <w:spacing w:line="240" w:lineRule="auto"/>
        <w:rPr>
          <w:noProof/>
          <w:szCs w:val="22"/>
        </w:rPr>
      </w:pPr>
      <w:r>
        <w:rPr>
          <w:b/>
          <w:noProof/>
        </w:rPr>
        <w:t>NÁZEV PŘÍPRAVKU</w:t>
      </w:r>
    </w:p>
    <w:p w14:paraId="076572D5" w14:textId="77777777" w:rsidR="00812D16" w:rsidRPr="00067B16" w:rsidRDefault="00812D16" w:rsidP="0056212D">
      <w:pPr>
        <w:pStyle w:val="Normln1"/>
        <w:keepNext/>
        <w:spacing w:line="240" w:lineRule="auto"/>
        <w:rPr>
          <w:iCs/>
          <w:noProof/>
          <w:szCs w:val="22"/>
        </w:rPr>
      </w:pPr>
    </w:p>
    <w:p w14:paraId="59F3052F" w14:textId="32328924" w:rsidR="00812D16" w:rsidRPr="00067B16" w:rsidRDefault="00ED0B52" w:rsidP="00204AAB">
      <w:pPr>
        <w:pStyle w:val="Normln1"/>
        <w:widowControl w:val="0"/>
        <w:spacing w:line="240" w:lineRule="auto"/>
        <w:rPr>
          <w:noProof/>
          <w:szCs w:val="22"/>
        </w:rPr>
      </w:pPr>
      <w:proofErr w:type="spellStart"/>
      <w:r w:rsidRPr="00AD7832">
        <w:t>Alluzience</w:t>
      </w:r>
      <w:proofErr w:type="spellEnd"/>
      <w:r w:rsidRPr="00AD7832">
        <w:t xml:space="preserve"> 200</w:t>
      </w:r>
      <w:r w:rsidRPr="00ED0B52">
        <w:t xml:space="preserve"> </w:t>
      </w:r>
      <w:proofErr w:type="spellStart"/>
      <w:r w:rsidRPr="00ED0B52">
        <w:t>Speywood</w:t>
      </w:r>
      <w:proofErr w:type="spellEnd"/>
      <w:r w:rsidRPr="00ED0B52">
        <w:t xml:space="preserve"> </w:t>
      </w:r>
      <w:r>
        <w:t>jednotek</w:t>
      </w:r>
      <w:r w:rsidRPr="00ED0B52">
        <w:t xml:space="preserve">/ml </w:t>
      </w:r>
      <w:r w:rsidR="00B55CFC" w:rsidRPr="002E0DC5">
        <w:rPr>
          <w:iCs/>
        </w:rPr>
        <w:t>injekční roztok</w:t>
      </w:r>
      <w:r w:rsidRPr="002E0DC5">
        <w:rPr>
          <w:i/>
          <w:iCs/>
        </w:rPr>
        <w:t xml:space="preserve"> </w:t>
      </w:r>
    </w:p>
    <w:p w14:paraId="5B1AB191" w14:textId="77777777" w:rsidR="00812D16" w:rsidRPr="00B3208E" w:rsidRDefault="00812D16" w:rsidP="00204AAB">
      <w:pPr>
        <w:pStyle w:val="Normln1"/>
        <w:spacing w:line="240" w:lineRule="auto"/>
        <w:rPr>
          <w:iCs/>
          <w:noProof/>
          <w:szCs w:val="22"/>
        </w:rPr>
      </w:pPr>
    </w:p>
    <w:p w14:paraId="2A1AEB2F" w14:textId="77777777" w:rsidR="00812D16" w:rsidRPr="00A26F79" w:rsidRDefault="00812D16" w:rsidP="00204AAB">
      <w:pPr>
        <w:pStyle w:val="Normln1"/>
        <w:spacing w:line="240" w:lineRule="auto"/>
        <w:rPr>
          <w:iCs/>
          <w:noProof/>
          <w:szCs w:val="22"/>
        </w:rPr>
      </w:pPr>
    </w:p>
    <w:p w14:paraId="65BD25F1" w14:textId="77777777" w:rsidR="00812D16" w:rsidRPr="008225EB" w:rsidRDefault="001E3814" w:rsidP="00AD7832">
      <w:pPr>
        <w:pStyle w:val="Normln1"/>
        <w:keepNext/>
        <w:numPr>
          <w:ilvl w:val="0"/>
          <w:numId w:val="1"/>
        </w:numPr>
        <w:suppressAutoHyphens/>
        <w:spacing w:line="240" w:lineRule="auto"/>
        <w:rPr>
          <w:noProof/>
          <w:szCs w:val="22"/>
        </w:rPr>
      </w:pPr>
      <w:r>
        <w:rPr>
          <w:b/>
          <w:noProof/>
        </w:rPr>
        <w:t>KVALITATIVNÍ A KVANTITATIVNÍ SLOŽENÍ</w:t>
      </w:r>
    </w:p>
    <w:p w14:paraId="24656D69" w14:textId="77777777" w:rsidR="00812D16" w:rsidRPr="008225EB" w:rsidRDefault="00812D16" w:rsidP="0056212D">
      <w:pPr>
        <w:pStyle w:val="Normln1"/>
        <w:keepNext/>
        <w:spacing w:line="240" w:lineRule="auto"/>
        <w:rPr>
          <w:iCs/>
          <w:noProof/>
          <w:szCs w:val="22"/>
        </w:rPr>
      </w:pPr>
    </w:p>
    <w:p w14:paraId="62232D55" w14:textId="040A2311" w:rsidR="00ED0B52" w:rsidRPr="00ED0B52" w:rsidRDefault="00A86ED2" w:rsidP="00ED0B52">
      <w:pPr>
        <w:pStyle w:val="Normln1"/>
        <w:keepNext/>
        <w:rPr>
          <w:lang w:val="en-US"/>
        </w:rPr>
      </w:pPr>
      <w:r>
        <w:t xml:space="preserve">Komplex </w:t>
      </w:r>
      <w:r w:rsidRPr="00E46FBA">
        <w:rPr>
          <w:i/>
        </w:rPr>
        <w:t xml:space="preserve">Clostridium </w:t>
      </w:r>
      <w:proofErr w:type="spellStart"/>
      <w:r w:rsidRPr="00E46FBA">
        <w:rPr>
          <w:i/>
        </w:rPr>
        <w:t>botulinum</w:t>
      </w:r>
      <w:proofErr w:type="spellEnd"/>
      <w:r>
        <w:t xml:space="preserve"> toxin A s </w:t>
      </w:r>
      <w:proofErr w:type="spellStart"/>
      <w:r>
        <w:t>hemaglutininem</w:t>
      </w:r>
      <w:proofErr w:type="spellEnd"/>
      <w:r w:rsidR="00ED0B52" w:rsidRPr="00ED0B52">
        <w:rPr>
          <w:lang w:val="en-US"/>
        </w:rPr>
        <w:t xml:space="preserve"> 200 </w:t>
      </w:r>
      <w:proofErr w:type="spellStart"/>
      <w:r w:rsidR="00ED0B52" w:rsidRPr="00ED0B52">
        <w:rPr>
          <w:lang w:val="en-US"/>
        </w:rPr>
        <w:t>Speywood</w:t>
      </w:r>
      <w:proofErr w:type="spellEnd"/>
      <w:r w:rsidR="00ED0B52" w:rsidRPr="00ED0B52">
        <w:rPr>
          <w:lang w:val="en-US"/>
        </w:rPr>
        <w:t xml:space="preserve"> </w:t>
      </w:r>
      <w:proofErr w:type="spellStart"/>
      <w:r w:rsidR="00ED0B52">
        <w:rPr>
          <w:lang w:val="en-US"/>
        </w:rPr>
        <w:t>jednotek</w:t>
      </w:r>
      <w:proofErr w:type="spellEnd"/>
      <w:r w:rsidR="00ED0B52" w:rsidRPr="00ED0B52">
        <w:rPr>
          <w:lang w:val="en-US"/>
        </w:rPr>
        <w:t>/ml</w:t>
      </w:r>
      <w:r w:rsidR="0043443F">
        <w:rPr>
          <w:lang w:val="en-US"/>
        </w:rPr>
        <w:t>.</w:t>
      </w:r>
    </w:p>
    <w:p w14:paraId="7A8F0E10" w14:textId="7D5317BB" w:rsidR="00ED0B52" w:rsidRDefault="00E30265" w:rsidP="00ED0B52">
      <w:pPr>
        <w:pStyle w:val="Normln1"/>
        <w:keepNext/>
        <w:rPr>
          <w:lang w:val="en-US"/>
        </w:rPr>
      </w:pPr>
      <w:proofErr w:type="spellStart"/>
      <w:r>
        <w:rPr>
          <w:lang w:val="en-US"/>
        </w:rPr>
        <w:t>J</w:t>
      </w:r>
      <w:r w:rsidR="00ED0B52" w:rsidRPr="00ED0B52">
        <w:rPr>
          <w:lang w:val="en-US"/>
        </w:rPr>
        <w:t>ednotky</w:t>
      </w:r>
      <w:proofErr w:type="spellEnd"/>
      <w:r w:rsidR="00ED0B52" w:rsidRPr="00ED0B52">
        <w:rPr>
          <w:lang w:val="en-US"/>
        </w:rPr>
        <w:t xml:space="preserve"> </w:t>
      </w:r>
      <w:proofErr w:type="spellStart"/>
      <w:r>
        <w:rPr>
          <w:lang w:val="en-US"/>
        </w:rPr>
        <w:t>botulotoxinu</w:t>
      </w:r>
      <w:proofErr w:type="spellEnd"/>
      <w:r>
        <w:rPr>
          <w:lang w:val="en-US"/>
        </w:rPr>
        <w:t xml:space="preserve"> </w:t>
      </w:r>
      <w:proofErr w:type="spellStart"/>
      <w:r w:rsidR="00ED0B52" w:rsidRPr="00ED0B52">
        <w:rPr>
          <w:lang w:val="en-US"/>
        </w:rPr>
        <w:t>nejsou</w:t>
      </w:r>
      <w:proofErr w:type="spellEnd"/>
      <w:r w:rsidR="00ED0B52" w:rsidRPr="00ED0B52">
        <w:rPr>
          <w:lang w:val="en-US"/>
        </w:rPr>
        <w:t xml:space="preserve"> </w:t>
      </w:r>
      <w:proofErr w:type="spellStart"/>
      <w:r w:rsidR="00ED0B52" w:rsidRPr="00ED0B52">
        <w:rPr>
          <w:lang w:val="en-US"/>
        </w:rPr>
        <w:t>zaměnitelné</w:t>
      </w:r>
      <w:proofErr w:type="spellEnd"/>
      <w:r w:rsidR="00ED0B52" w:rsidRPr="00ED0B52">
        <w:rPr>
          <w:lang w:val="en-US"/>
        </w:rPr>
        <w:t xml:space="preserve"> </w:t>
      </w:r>
      <w:proofErr w:type="spellStart"/>
      <w:r w:rsidR="00AC7921">
        <w:rPr>
          <w:lang w:val="en-US"/>
        </w:rPr>
        <w:t>mezi</w:t>
      </w:r>
      <w:proofErr w:type="spellEnd"/>
      <w:r w:rsidR="00AC7921">
        <w:rPr>
          <w:lang w:val="en-US"/>
        </w:rPr>
        <w:t xml:space="preserve"> </w:t>
      </w:r>
      <w:proofErr w:type="spellStart"/>
      <w:r w:rsidR="00AC7921">
        <w:rPr>
          <w:lang w:val="en-US"/>
        </w:rPr>
        <w:t>jednotlivými</w:t>
      </w:r>
      <w:proofErr w:type="spellEnd"/>
      <w:r w:rsidR="00ED0B52" w:rsidRPr="00ED0B52">
        <w:rPr>
          <w:lang w:val="en-US"/>
        </w:rPr>
        <w:t xml:space="preserve"> </w:t>
      </w:r>
      <w:proofErr w:type="spellStart"/>
      <w:r w:rsidR="00ED0B52" w:rsidRPr="00ED0B52">
        <w:rPr>
          <w:lang w:val="en-US"/>
        </w:rPr>
        <w:t>přípravky</w:t>
      </w:r>
      <w:proofErr w:type="spellEnd"/>
      <w:r w:rsidR="00ED0B52">
        <w:rPr>
          <w:lang w:val="en-US"/>
        </w:rPr>
        <w:t xml:space="preserve">. </w:t>
      </w:r>
      <w:proofErr w:type="spellStart"/>
      <w:r w:rsidR="00ED0B52">
        <w:rPr>
          <w:lang w:val="en-US"/>
        </w:rPr>
        <w:t>Dávky</w:t>
      </w:r>
      <w:proofErr w:type="spellEnd"/>
      <w:r w:rsidR="00ED0B52">
        <w:rPr>
          <w:lang w:val="en-US"/>
        </w:rPr>
        <w:t xml:space="preserve"> </w:t>
      </w:r>
      <w:proofErr w:type="spellStart"/>
      <w:r w:rsidR="00ED0B52">
        <w:rPr>
          <w:lang w:val="en-US"/>
        </w:rPr>
        <w:t>doporučené</w:t>
      </w:r>
      <w:proofErr w:type="spellEnd"/>
      <w:r w:rsidR="00ED0B52">
        <w:rPr>
          <w:lang w:val="en-US"/>
        </w:rPr>
        <w:t xml:space="preserve"> </w:t>
      </w:r>
      <w:proofErr w:type="spellStart"/>
      <w:r w:rsidR="00ED0B52">
        <w:rPr>
          <w:lang w:val="en-US"/>
        </w:rPr>
        <w:t>ve</w:t>
      </w:r>
      <w:proofErr w:type="spellEnd"/>
      <w:r w:rsidR="00ED0B52">
        <w:rPr>
          <w:lang w:val="en-US"/>
        </w:rPr>
        <w:t xml:space="preserve"> </w:t>
      </w:r>
      <w:proofErr w:type="spellStart"/>
      <w:r w:rsidR="00ED0B52">
        <w:rPr>
          <w:lang w:val="en-US"/>
        </w:rPr>
        <w:t>Speywood</w:t>
      </w:r>
      <w:proofErr w:type="spellEnd"/>
      <w:r w:rsidR="00ED0B52">
        <w:rPr>
          <w:lang w:val="en-US"/>
        </w:rPr>
        <w:t xml:space="preserve"> </w:t>
      </w:r>
      <w:proofErr w:type="spellStart"/>
      <w:r w:rsidR="00ED0B52">
        <w:rPr>
          <w:lang w:val="en-US"/>
        </w:rPr>
        <w:t>jednotkách</w:t>
      </w:r>
      <w:proofErr w:type="spellEnd"/>
      <w:r w:rsidR="00ED0B52">
        <w:rPr>
          <w:lang w:val="en-US"/>
        </w:rPr>
        <w:t xml:space="preserve"> </w:t>
      </w:r>
      <w:r w:rsidR="00390457">
        <w:rPr>
          <w:lang w:val="en-US"/>
        </w:rPr>
        <w:t xml:space="preserve">se </w:t>
      </w:r>
      <w:proofErr w:type="spellStart"/>
      <w:r w:rsidR="00ED0B52">
        <w:rPr>
          <w:lang w:val="en-US"/>
        </w:rPr>
        <w:t>liší</w:t>
      </w:r>
      <w:proofErr w:type="spellEnd"/>
      <w:r w:rsidR="00ED0B52">
        <w:rPr>
          <w:lang w:val="en-US"/>
        </w:rPr>
        <w:t xml:space="preserve"> </w:t>
      </w:r>
      <w:proofErr w:type="spellStart"/>
      <w:r w:rsidR="00ED0B52">
        <w:rPr>
          <w:lang w:val="en-US"/>
        </w:rPr>
        <w:t>od</w:t>
      </w:r>
      <w:proofErr w:type="spellEnd"/>
      <w:r w:rsidR="00ED0B52">
        <w:rPr>
          <w:lang w:val="en-US"/>
        </w:rPr>
        <w:t xml:space="preserve"> </w:t>
      </w:r>
      <w:proofErr w:type="spellStart"/>
      <w:r w:rsidR="00ED0B52">
        <w:rPr>
          <w:lang w:val="en-US"/>
        </w:rPr>
        <w:t>jiných</w:t>
      </w:r>
      <w:proofErr w:type="spellEnd"/>
      <w:r w:rsidR="00ED0B52" w:rsidRPr="00ED0B52">
        <w:rPr>
          <w:lang w:val="en-US"/>
        </w:rPr>
        <w:t xml:space="preserve"> </w:t>
      </w:r>
      <w:proofErr w:type="spellStart"/>
      <w:r w:rsidR="00ED0B52" w:rsidRPr="00ED0B52">
        <w:rPr>
          <w:lang w:val="en-US"/>
        </w:rPr>
        <w:t>přípravk</w:t>
      </w:r>
      <w:r w:rsidR="00ED0B52">
        <w:rPr>
          <w:lang w:val="en-US"/>
        </w:rPr>
        <w:t>ů</w:t>
      </w:r>
      <w:proofErr w:type="spellEnd"/>
      <w:r w:rsidR="00ED0B52" w:rsidRPr="00ED0B52">
        <w:rPr>
          <w:lang w:val="en-US"/>
        </w:rPr>
        <w:t xml:space="preserve"> </w:t>
      </w:r>
      <w:proofErr w:type="spellStart"/>
      <w:r w:rsidR="00ED0B52" w:rsidRPr="00ED0B52">
        <w:rPr>
          <w:lang w:val="en-US"/>
        </w:rPr>
        <w:t>obsahující</w:t>
      </w:r>
      <w:r w:rsidR="00ED0B52">
        <w:rPr>
          <w:lang w:val="en-US"/>
        </w:rPr>
        <w:t>ch</w:t>
      </w:r>
      <w:proofErr w:type="spellEnd"/>
      <w:r w:rsidR="00ED0B52" w:rsidRPr="00ED0B52">
        <w:rPr>
          <w:lang w:val="en-US"/>
        </w:rPr>
        <w:t xml:space="preserve"> botulotoxin</w:t>
      </w:r>
      <w:r w:rsidR="00390457">
        <w:rPr>
          <w:lang w:val="en-US"/>
        </w:rPr>
        <w:t>.</w:t>
      </w:r>
      <w:r w:rsidR="00ED0B52" w:rsidRPr="00ED0B52">
        <w:rPr>
          <w:lang w:val="en-US"/>
        </w:rPr>
        <w:t xml:space="preserve"> </w:t>
      </w:r>
    </w:p>
    <w:p w14:paraId="5D1B6323" w14:textId="77777777" w:rsidR="00812D16" w:rsidRDefault="00ED0B52" w:rsidP="00ED0B52">
      <w:pPr>
        <w:pStyle w:val="Normln1"/>
        <w:keepNext/>
        <w:spacing w:line="240" w:lineRule="auto"/>
        <w:rPr>
          <w:lang w:val="en-US"/>
        </w:rPr>
      </w:pPr>
      <w:proofErr w:type="spellStart"/>
      <w:r>
        <w:rPr>
          <w:lang w:val="en-US"/>
        </w:rPr>
        <w:t>Jedna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injekční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lahvička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obsahuje</w:t>
      </w:r>
      <w:proofErr w:type="spellEnd"/>
      <w:r w:rsidRPr="00ED0B52">
        <w:rPr>
          <w:lang w:val="en-US"/>
        </w:rPr>
        <w:t xml:space="preserve"> 125 </w:t>
      </w:r>
      <w:proofErr w:type="spellStart"/>
      <w:r w:rsidRPr="00ED0B52">
        <w:rPr>
          <w:lang w:val="en-US"/>
        </w:rPr>
        <w:t>Speywood</w:t>
      </w:r>
      <w:proofErr w:type="spellEnd"/>
      <w:r w:rsidRPr="00ED0B52">
        <w:rPr>
          <w:lang w:val="en-US"/>
        </w:rPr>
        <w:t xml:space="preserve"> </w:t>
      </w:r>
      <w:proofErr w:type="spellStart"/>
      <w:r>
        <w:rPr>
          <w:lang w:val="en-US"/>
        </w:rPr>
        <w:t>jednotek</w:t>
      </w:r>
      <w:proofErr w:type="spellEnd"/>
      <w:r>
        <w:rPr>
          <w:lang w:val="en-US"/>
        </w:rPr>
        <w:t xml:space="preserve"> v</w:t>
      </w:r>
      <w:r w:rsidRPr="00ED0B52">
        <w:rPr>
          <w:lang w:val="en-US"/>
        </w:rPr>
        <w:t xml:space="preserve"> 0</w:t>
      </w:r>
      <w:r>
        <w:rPr>
          <w:lang w:val="en-US"/>
        </w:rPr>
        <w:t>,</w:t>
      </w:r>
      <w:r w:rsidRPr="00ED0B52">
        <w:rPr>
          <w:lang w:val="en-US"/>
        </w:rPr>
        <w:t xml:space="preserve">625 ml </w:t>
      </w:r>
      <w:proofErr w:type="spellStart"/>
      <w:r>
        <w:rPr>
          <w:lang w:val="en-US"/>
        </w:rPr>
        <w:t>roztoku</w:t>
      </w:r>
      <w:proofErr w:type="spellEnd"/>
      <w:r w:rsidRPr="00ED0B52">
        <w:rPr>
          <w:lang w:val="en-US"/>
        </w:rPr>
        <w:t>.</w:t>
      </w:r>
    </w:p>
    <w:p w14:paraId="7EB72222" w14:textId="77777777" w:rsidR="00812D16" w:rsidRPr="00157895" w:rsidRDefault="001E3814" w:rsidP="00204AAB">
      <w:pPr>
        <w:pStyle w:val="Normln1"/>
        <w:spacing w:line="240" w:lineRule="auto"/>
        <w:outlineLvl w:val="0"/>
        <w:rPr>
          <w:noProof/>
          <w:szCs w:val="22"/>
        </w:rPr>
      </w:pPr>
      <w:r>
        <w:t>Úplný seznam pomocných látek viz bod 6.1.</w:t>
      </w:r>
    </w:p>
    <w:p w14:paraId="52A56C2F" w14:textId="77777777" w:rsidR="00812D16" w:rsidRPr="001F6423" w:rsidRDefault="00812D16" w:rsidP="00204AAB">
      <w:pPr>
        <w:pStyle w:val="Normln1"/>
        <w:spacing w:line="240" w:lineRule="auto"/>
        <w:rPr>
          <w:noProof/>
          <w:szCs w:val="22"/>
        </w:rPr>
      </w:pPr>
    </w:p>
    <w:p w14:paraId="2F342E67" w14:textId="77777777" w:rsidR="00812D16" w:rsidRPr="001F6423" w:rsidRDefault="00812D16" w:rsidP="00204AAB">
      <w:pPr>
        <w:pStyle w:val="Normln1"/>
        <w:spacing w:line="240" w:lineRule="auto"/>
        <w:rPr>
          <w:noProof/>
          <w:szCs w:val="22"/>
        </w:rPr>
      </w:pPr>
    </w:p>
    <w:p w14:paraId="7FE4EB66" w14:textId="77777777" w:rsidR="00812D16" w:rsidRPr="00F658B9" w:rsidRDefault="001E3814" w:rsidP="00AD7832">
      <w:pPr>
        <w:pStyle w:val="Normln1"/>
        <w:keepNext/>
        <w:numPr>
          <w:ilvl w:val="0"/>
          <w:numId w:val="1"/>
        </w:numPr>
        <w:suppressAutoHyphens/>
        <w:spacing w:line="240" w:lineRule="auto"/>
        <w:rPr>
          <w:caps/>
          <w:noProof/>
          <w:szCs w:val="22"/>
        </w:rPr>
      </w:pPr>
      <w:r>
        <w:rPr>
          <w:b/>
          <w:noProof/>
        </w:rPr>
        <w:t>LÉKOVÁ FORMA</w:t>
      </w:r>
    </w:p>
    <w:p w14:paraId="0C279AEC" w14:textId="77777777" w:rsidR="00812D16" w:rsidRPr="00F658B9" w:rsidRDefault="00812D16" w:rsidP="0056212D">
      <w:pPr>
        <w:pStyle w:val="Normln1"/>
        <w:keepNext/>
        <w:spacing w:line="240" w:lineRule="auto"/>
        <w:rPr>
          <w:noProof/>
          <w:szCs w:val="22"/>
        </w:rPr>
      </w:pPr>
    </w:p>
    <w:p w14:paraId="666F14BE" w14:textId="13EFF8AD" w:rsidR="00812D16" w:rsidRPr="006B4557" w:rsidRDefault="00ED0B52" w:rsidP="00204AAB">
      <w:pPr>
        <w:pStyle w:val="Normln1"/>
        <w:spacing w:line="240" w:lineRule="auto"/>
        <w:rPr>
          <w:noProof/>
          <w:szCs w:val="22"/>
        </w:rPr>
      </w:pPr>
      <w:r>
        <w:t>Injekční roztok</w:t>
      </w:r>
      <w:r w:rsidR="0043443F">
        <w:t>.</w:t>
      </w:r>
    </w:p>
    <w:p w14:paraId="4E7BA207" w14:textId="77777777" w:rsidR="00812D16" w:rsidRPr="006B4557" w:rsidRDefault="00ED0B52" w:rsidP="00204AAB">
      <w:pPr>
        <w:pStyle w:val="Normln1"/>
        <w:spacing w:line="240" w:lineRule="auto"/>
        <w:rPr>
          <w:noProof/>
          <w:szCs w:val="22"/>
        </w:rPr>
      </w:pPr>
      <w:r>
        <w:t>Čirý bezbarvý roztok</w:t>
      </w:r>
      <w:r w:rsidR="001E3814">
        <w:t>.</w:t>
      </w:r>
    </w:p>
    <w:p w14:paraId="7803BAAF" w14:textId="77777777" w:rsidR="00812D16" w:rsidRPr="006B4557" w:rsidRDefault="00812D16" w:rsidP="00204AAB">
      <w:pPr>
        <w:pStyle w:val="Normln1"/>
        <w:spacing w:line="240" w:lineRule="auto"/>
        <w:rPr>
          <w:noProof/>
          <w:szCs w:val="22"/>
        </w:rPr>
      </w:pPr>
    </w:p>
    <w:p w14:paraId="421DCB1A" w14:textId="77777777" w:rsidR="00812D16" w:rsidRPr="006B4557" w:rsidRDefault="00812D16" w:rsidP="00204AAB">
      <w:pPr>
        <w:pStyle w:val="Normln1"/>
        <w:spacing w:line="240" w:lineRule="auto"/>
        <w:rPr>
          <w:noProof/>
          <w:szCs w:val="22"/>
        </w:rPr>
      </w:pPr>
    </w:p>
    <w:p w14:paraId="0C058448" w14:textId="77777777" w:rsidR="00812D16" w:rsidRPr="00F658B9" w:rsidRDefault="001E3814" w:rsidP="00AD7832">
      <w:pPr>
        <w:pStyle w:val="Normln1"/>
        <w:keepNext/>
        <w:numPr>
          <w:ilvl w:val="0"/>
          <w:numId w:val="1"/>
        </w:numPr>
        <w:suppressAutoHyphens/>
        <w:spacing w:line="240" w:lineRule="auto"/>
        <w:rPr>
          <w:caps/>
          <w:noProof/>
          <w:szCs w:val="22"/>
        </w:rPr>
      </w:pPr>
      <w:r>
        <w:rPr>
          <w:b/>
          <w:noProof/>
        </w:rPr>
        <w:t>KLINICKÉ ÚDAJE</w:t>
      </w:r>
    </w:p>
    <w:p w14:paraId="4AB07DD8" w14:textId="77777777" w:rsidR="00812D16" w:rsidRPr="006B4557" w:rsidRDefault="00812D16" w:rsidP="0056212D">
      <w:pPr>
        <w:pStyle w:val="Normln1"/>
        <w:keepNext/>
        <w:spacing w:line="240" w:lineRule="auto"/>
        <w:rPr>
          <w:noProof/>
          <w:szCs w:val="22"/>
        </w:rPr>
      </w:pPr>
    </w:p>
    <w:p w14:paraId="6FD8B071" w14:textId="77777777" w:rsidR="00812D16" w:rsidRPr="006B4557" w:rsidRDefault="001E3814" w:rsidP="00AD7832">
      <w:pPr>
        <w:pStyle w:val="Normln1"/>
        <w:keepNext/>
        <w:numPr>
          <w:ilvl w:val="1"/>
          <w:numId w:val="1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Terapeutické indikace</w:t>
      </w:r>
    </w:p>
    <w:p w14:paraId="66F5CB3F" w14:textId="77777777" w:rsidR="00812D16" w:rsidRPr="006B4557" w:rsidRDefault="00812D16" w:rsidP="0056212D">
      <w:pPr>
        <w:pStyle w:val="Normln1"/>
        <w:keepNext/>
        <w:spacing w:line="240" w:lineRule="auto"/>
        <w:rPr>
          <w:noProof/>
          <w:szCs w:val="22"/>
        </w:rPr>
      </w:pPr>
    </w:p>
    <w:p w14:paraId="7E8314D0" w14:textId="29A79544" w:rsidR="00812D16" w:rsidRPr="00067B16" w:rsidRDefault="00ED0B52" w:rsidP="00ED0B52">
      <w:pPr>
        <w:pStyle w:val="Normln1"/>
        <w:rPr>
          <w:i/>
          <w:color w:val="000000"/>
          <w:szCs w:val="22"/>
        </w:rPr>
      </w:pPr>
      <w:r>
        <w:t xml:space="preserve">Přípravek </w:t>
      </w:r>
      <w:proofErr w:type="spellStart"/>
      <w:r>
        <w:t>Alluzience</w:t>
      </w:r>
      <w:proofErr w:type="spellEnd"/>
      <w:r>
        <w:t xml:space="preserve"> je indikován k dočasnému zlepšení vzhledu středně závažných až závažných </w:t>
      </w:r>
      <w:proofErr w:type="spellStart"/>
      <w:r>
        <w:t>glabelárních</w:t>
      </w:r>
      <w:proofErr w:type="spellEnd"/>
      <w:r>
        <w:t xml:space="preserve"> </w:t>
      </w:r>
      <w:r w:rsidR="000849CD">
        <w:t>vrásek</w:t>
      </w:r>
      <w:r>
        <w:t xml:space="preserve"> (svislé linie mezi obočím) viditelných při maximálním zamračení u dospělých pacientů do 65 let věku, jestliže závažnost těchto linií má důležitý psychologický dopad na pacienta.</w:t>
      </w:r>
    </w:p>
    <w:p w14:paraId="05C2631B" w14:textId="77777777" w:rsidR="00812D16" w:rsidRPr="00067B16" w:rsidRDefault="00812D16" w:rsidP="00204AAB">
      <w:pPr>
        <w:pStyle w:val="Normln1"/>
        <w:spacing w:line="240" w:lineRule="auto"/>
        <w:rPr>
          <w:noProof/>
          <w:szCs w:val="22"/>
        </w:rPr>
      </w:pPr>
    </w:p>
    <w:p w14:paraId="0D60B9E2" w14:textId="77777777" w:rsidR="00812D16" w:rsidRPr="00A26F79" w:rsidRDefault="001E3814" w:rsidP="00AD7832">
      <w:pPr>
        <w:pStyle w:val="Normln1"/>
        <w:keepNext/>
        <w:numPr>
          <w:ilvl w:val="1"/>
          <w:numId w:val="1"/>
        </w:numPr>
        <w:spacing w:line="240" w:lineRule="auto"/>
        <w:outlineLvl w:val="0"/>
        <w:rPr>
          <w:b/>
          <w:noProof/>
          <w:szCs w:val="22"/>
        </w:rPr>
      </w:pPr>
      <w:r>
        <w:rPr>
          <w:b/>
          <w:noProof/>
        </w:rPr>
        <w:t>Dávkování a způsob podání</w:t>
      </w:r>
    </w:p>
    <w:p w14:paraId="52C7D9FC" w14:textId="77777777" w:rsidR="00812D16" w:rsidRPr="006B4557" w:rsidRDefault="00812D16" w:rsidP="0056212D">
      <w:pPr>
        <w:pStyle w:val="Normln1"/>
        <w:keepNext/>
        <w:spacing w:line="240" w:lineRule="auto"/>
        <w:rPr>
          <w:szCs w:val="22"/>
        </w:rPr>
      </w:pPr>
    </w:p>
    <w:p w14:paraId="58026BF1" w14:textId="77777777" w:rsidR="00812D16" w:rsidRPr="007B42D3" w:rsidRDefault="001E3814" w:rsidP="0056212D">
      <w:pPr>
        <w:pStyle w:val="Normln1"/>
        <w:keepNext/>
        <w:spacing w:line="240" w:lineRule="auto"/>
        <w:rPr>
          <w:szCs w:val="22"/>
          <w:u w:val="single"/>
        </w:rPr>
      </w:pPr>
      <w:r>
        <w:rPr>
          <w:u w:val="single"/>
        </w:rPr>
        <w:t>Dávkování</w:t>
      </w:r>
    </w:p>
    <w:p w14:paraId="6FF3DCC2" w14:textId="77777777" w:rsidR="00ED0B52" w:rsidRPr="00ED0B52" w:rsidRDefault="00ED0B52" w:rsidP="00ED0B52">
      <w:pPr>
        <w:rPr>
          <w:sz w:val="22"/>
          <w:szCs w:val="22"/>
          <w:lang w:val="cs-CZ" w:eastAsia="cs-CZ"/>
        </w:rPr>
      </w:pPr>
      <w:r w:rsidRPr="00ED0B52">
        <w:rPr>
          <w:sz w:val="22"/>
          <w:szCs w:val="22"/>
          <w:lang w:val="cs-CZ" w:eastAsia="cs-CZ"/>
        </w:rPr>
        <w:t xml:space="preserve">Jednotky botulotoxinu se liší v závislosti na léčivém přípravku. </w:t>
      </w:r>
      <w:proofErr w:type="spellStart"/>
      <w:r w:rsidRPr="00ED0B52">
        <w:rPr>
          <w:sz w:val="22"/>
          <w:szCs w:val="22"/>
          <w:lang w:val="cs-CZ" w:eastAsia="cs-CZ"/>
        </w:rPr>
        <w:t>Speywood</w:t>
      </w:r>
      <w:proofErr w:type="spellEnd"/>
      <w:r w:rsidRPr="00ED0B52">
        <w:rPr>
          <w:sz w:val="22"/>
          <w:szCs w:val="22"/>
          <w:lang w:val="cs-CZ" w:eastAsia="cs-CZ"/>
        </w:rPr>
        <w:t xml:space="preserve"> jednotky nejsou zaměnitelné</w:t>
      </w:r>
      <w:r w:rsidR="00390457">
        <w:rPr>
          <w:sz w:val="22"/>
          <w:szCs w:val="22"/>
          <w:lang w:val="cs-CZ" w:eastAsia="cs-CZ"/>
        </w:rPr>
        <w:t xml:space="preserve"> mezi jednotlivými přípravky. </w:t>
      </w:r>
      <w:r w:rsidR="00390457" w:rsidRPr="00390457">
        <w:rPr>
          <w:sz w:val="22"/>
          <w:szCs w:val="22"/>
          <w:lang w:val="cs-CZ" w:eastAsia="cs-CZ"/>
        </w:rPr>
        <w:t xml:space="preserve">Dávky doporučené ve </w:t>
      </w:r>
      <w:proofErr w:type="spellStart"/>
      <w:r w:rsidR="00390457" w:rsidRPr="00390457">
        <w:rPr>
          <w:sz w:val="22"/>
          <w:szCs w:val="22"/>
          <w:lang w:val="cs-CZ" w:eastAsia="cs-CZ"/>
        </w:rPr>
        <w:t>Speywood</w:t>
      </w:r>
      <w:proofErr w:type="spellEnd"/>
      <w:r w:rsidR="00390457" w:rsidRPr="00390457">
        <w:rPr>
          <w:sz w:val="22"/>
          <w:szCs w:val="22"/>
          <w:lang w:val="cs-CZ" w:eastAsia="cs-CZ"/>
        </w:rPr>
        <w:t xml:space="preserve"> jednotkách</w:t>
      </w:r>
      <w:r w:rsidR="00390457">
        <w:rPr>
          <w:sz w:val="22"/>
          <w:szCs w:val="22"/>
          <w:lang w:val="cs-CZ" w:eastAsia="cs-CZ"/>
        </w:rPr>
        <w:t xml:space="preserve"> se</w:t>
      </w:r>
      <w:r w:rsidR="00390457" w:rsidRPr="00390457">
        <w:rPr>
          <w:sz w:val="22"/>
          <w:szCs w:val="22"/>
          <w:lang w:val="cs-CZ" w:eastAsia="cs-CZ"/>
        </w:rPr>
        <w:t xml:space="preserve"> liší od jiných přípravků obsahujících botulotoxin</w:t>
      </w:r>
      <w:r w:rsidRPr="00ED0B52">
        <w:rPr>
          <w:sz w:val="22"/>
          <w:szCs w:val="22"/>
          <w:lang w:val="cs-CZ" w:eastAsia="cs-CZ"/>
        </w:rPr>
        <w:t>.</w:t>
      </w:r>
    </w:p>
    <w:p w14:paraId="7968E101" w14:textId="77777777" w:rsidR="00ED0B52" w:rsidRPr="00067B16" w:rsidRDefault="00ED0B52" w:rsidP="0056212D">
      <w:pPr>
        <w:pStyle w:val="Normln1"/>
        <w:keepNext/>
        <w:spacing w:line="240" w:lineRule="auto"/>
        <w:rPr>
          <w:szCs w:val="22"/>
        </w:rPr>
      </w:pPr>
    </w:p>
    <w:p w14:paraId="478CDE2C" w14:textId="77777777" w:rsidR="00812D16" w:rsidRPr="00067B16" w:rsidRDefault="001E3814" w:rsidP="0056212D">
      <w:pPr>
        <w:pStyle w:val="Normln1"/>
        <w:keepNext/>
        <w:spacing w:line="240" w:lineRule="auto"/>
        <w:rPr>
          <w:bCs/>
          <w:i/>
          <w:iCs/>
          <w:szCs w:val="22"/>
        </w:rPr>
      </w:pPr>
      <w:r>
        <w:rPr>
          <w:i/>
        </w:rPr>
        <w:t>Pediatrická populace</w:t>
      </w:r>
    </w:p>
    <w:p w14:paraId="02340CBD" w14:textId="77777777" w:rsidR="00812D16" w:rsidRPr="006B4557" w:rsidRDefault="001E3814" w:rsidP="00204AAB">
      <w:pPr>
        <w:pStyle w:val="Normln1"/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t xml:space="preserve">Bezpečnost a účinnost přípravku </w:t>
      </w:r>
      <w:proofErr w:type="spellStart"/>
      <w:r w:rsidR="00390457">
        <w:t>Alluzience</w:t>
      </w:r>
      <w:proofErr w:type="spellEnd"/>
      <w:r>
        <w:t xml:space="preserve"> u dětí ve věku do </w:t>
      </w:r>
      <w:r w:rsidR="00390457">
        <w:t>18</w:t>
      </w:r>
      <w:r>
        <w:t xml:space="preserve"> let nebyla stanovena</w:t>
      </w:r>
      <w:r w:rsidR="00390457">
        <w:t>.</w:t>
      </w:r>
      <w:r>
        <w:t xml:space="preserve"> </w:t>
      </w:r>
      <w:r w:rsidR="00390457">
        <w:t xml:space="preserve">Použití přípravku </w:t>
      </w:r>
      <w:proofErr w:type="spellStart"/>
      <w:r w:rsidR="00390457">
        <w:t>Alluzience</w:t>
      </w:r>
      <w:proofErr w:type="spellEnd"/>
      <w:r w:rsidR="00390457">
        <w:t xml:space="preserve"> u pacientů do 18 let věku se nedoporučuje.</w:t>
      </w:r>
    </w:p>
    <w:p w14:paraId="21D95E77" w14:textId="77777777" w:rsidR="009921E6" w:rsidRPr="008225EB" w:rsidRDefault="009921E6" w:rsidP="00204AAB">
      <w:pPr>
        <w:pStyle w:val="Normln1"/>
        <w:spacing w:line="240" w:lineRule="auto"/>
        <w:rPr>
          <w:szCs w:val="22"/>
          <w:u w:val="single"/>
        </w:rPr>
      </w:pPr>
    </w:p>
    <w:p w14:paraId="2B09D0BA" w14:textId="77777777" w:rsidR="00812D16" w:rsidRPr="00A3136F" w:rsidRDefault="001E3814" w:rsidP="0056212D">
      <w:pPr>
        <w:pStyle w:val="Normln1"/>
        <w:keepNext/>
        <w:spacing w:line="240" w:lineRule="auto"/>
        <w:rPr>
          <w:szCs w:val="22"/>
          <w:u w:val="single"/>
        </w:rPr>
      </w:pPr>
      <w:r>
        <w:rPr>
          <w:u w:val="single"/>
        </w:rPr>
        <w:t xml:space="preserve">Způsob podání </w:t>
      </w:r>
    </w:p>
    <w:p w14:paraId="329943B7" w14:textId="77777777" w:rsidR="00390457" w:rsidRDefault="00390457" w:rsidP="00390457">
      <w:pPr>
        <w:pStyle w:val="Normln1"/>
      </w:pPr>
      <w:r>
        <w:t xml:space="preserve">Přípravek </w:t>
      </w:r>
      <w:proofErr w:type="spellStart"/>
      <w:r>
        <w:t>Alluzience</w:t>
      </w:r>
      <w:proofErr w:type="spellEnd"/>
      <w:r>
        <w:t xml:space="preserve"> má být podán pouze lékařem, který má odpovídající kvalifikaci a zkušenosti s touto léčbou a má požadované vybavení.</w:t>
      </w:r>
    </w:p>
    <w:p w14:paraId="3CC79CA5" w14:textId="77777777" w:rsidR="00390457" w:rsidRDefault="00390457" w:rsidP="00390457">
      <w:pPr>
        <w:pStyle w:val="Normln1"/>
      </w:pPr>
    </w:p>
    <w:p w14:paraId="50D145A0" w14:textId="77777777" w:rsidR="00390457" w:rsidRDefault="00390457" w:rsidP="00390457">
      <w:pPr>
        <w:pStyle w:val="Normln1"/>
      </w:pPr>
      <w:r>
        <w:t xml:space="preserve">Injekční lahvička přípravku </w:t>
      </w:r>
      <w:proofErr w:type="spellStart"/>
      <w:r>
        <w:t>Alluzience</w:t>
      </w:r>
      <w:proofErr w:type="spellEnd"/>
      <w:r>
        <w:t xml:space="preserve"> se má použít pouze k léčbě jednoho pacienta během jednoho sezení. Před podáním o</w:t>
      </w:r>
      <w:r w:rsidRPr="00390457">
        <w:t>dstraňte veškerý make-up a desinfikujte kůži lokálním antiseptikem.</w:t>
      </w:r>
    </w:p>
    <w:p w14:paraId="0768E33F" w14:textId="77777777" w:rsidR="00390457" w:rsidRDefault="00390457" w:rsidP="00390457">
      <w:pPr>
        <w:pStyle w:val="Normln1"/>
      </w:pPr>
    </w:p>
    <w:p w14:paraId="5DE28C60" w14:textId="0B191F02" w:rsidR="00390457" w:rsidRDefault="00390457" w:rsidP="00390457">
      <w:pPr>
        <w:pStyle w:val="Normln1"/>
      </w:pPr>
      <w:r>
        <w:t>Intramuskulární injekce se provede pomocí sterilní jehly o vhodném rozměru.</w:t>
      </w:r>
    </w:p>
    <w:p w14:paraId="57302A52" w14:textId="77777777" w:rsidR="00390457" w:rsidRDefault="00390457" w:rsidP="00390457">
      <w:pPr>
        <w:pStyle w:val="Normln1"/>
      </w:pPr>
    </w:p>
    <w:p w14:paraId="6DD477C2" w14:textId="77777777" w:rsidR="00390457" w:rsidRDefault="00390457" w:rsidP="00390457">
      <w:pPr>
        <w:pStyle w:val="Normln1"/>
      </w:pPr>
      <w:r>
        <w:t>Dávkování a léčebné intervaly závisí na vyhodnocení individuální odpovědi pacienta.</w:t>
      </w:r>
    </w:p>
    <w:p w14:paraId="0B0343DE" w14:textId="77777777" w:rsidR="006C3BBD" w:rsidRDefault="006C3BBD" w:rsidP="00390457">
      <w:pPr>
        <w:pStyle w:val="Normln1"/>
      </w:pPr>
    </w:p>
    <w:p w14:paraId="174F4ED4" w14:textId="435DF18D" w:rsidR="00390457" w:rsidRDefault="006C3BBD" w:rsidP="00390457">
      <w:pPr>
        <w:pStyle w:val="Normln1"/>
      </w:pPr>
      <w:r w:rsidRPr="006C3BBD">
        <w:lastRenderedPageBreak/>
        <w:t>Medián doby do nástupu, jak byl subjektivně hlášen pacienty, byl 3 dny (většina pacientů uvedla účinek do 2 až 3 dnů, někte</w:t>
      </w:r>
      <w:r>
        <w:t>ří</w:t>
      </w:r>
      <w:r w:rsidRPr="006C3BBD">
        <w:t xml:space="preserve"> pacient</w:t>
      </w:r>
      <w:r>
        <w:t>i hlásili</w:t>
      </w:r>
      <w:r w:rsidRPr="006C3BBD">
        <w:t xml:space="preserve"> účinek </w:t>
      </w:r>
      <w:r>
        <w:t>během</w:t>
      </w:r>
      <w:r w:rsidRPr="006C3BBD">
        <w:t xml:space="preserve"> 24 hodin). Účinek byl prokázán </w:t>
      </w:r>
      <w:r w:rsidR="0043443F">
        <w:t>po dobu až</w:t>
      </w:r>
      <w:r>
        <w:t xml:space="preserve"> </w:t>
      </w:r>
      <w:r w:rsidRPr="006C3BBD">
        <w:t>6 měsíců po injekci.</w:t>
      </w:r>
    </w:p>
    <w:p w14:paraId="588FD0D0" w14:textId="77777777" w:rsidR="00390457" w:rsidRDefault="00390457" w:rsidP="00390457">
      <w:pPr>
        <w:pStyle w:val="Normln1"/>
      </w:pPr>
    </w:p>
    <w:p w14:paraId="204AA570" w14:textId="57C3F827" w:rsidR="00390457" w:rsidRDefault="00390457" w:rsidP="00390457">
      <w:pPr>
        <w:pStyle w:val="Normln1"/>
      </w:pPr>
      <w:r>
        <w:t xml:space="preserve">Léčebný interval nemá být </w:t>
      </w:r>
      <w:r w:rsidR="0043443F">
        <w:t xml:space="preserve">častěji než každé </w:t>
      </w:r>
      <w:r>
        <w:t>3 měsíce.</w:t>
      </w:r>
    </w:p>
    <w:p w14:paraId="6AB98669" w14:textId="77777777" w:rsidR="00390457" w:rsidRDefault="00390457" w:rsidP="00390457">
      <w:pPr>
        <w:pStyle w:val="Normln1"/>
      </w:pPr>
    </w:p>
    <w:p w14:paraId="6A666A58" w14:textId="2CC95B23" w:rsidR="00812D16" w:rsidRPr="00412450" w:rsidRDefault="00390457" w:rsidP="00390457">
      <w:pPr>
        <w:pStyle w:val="Normln1"/>
        <w:spacing w:line="240" w:lineRule="auto"/>
        <w:rPr>
          <w:noProof/>
          <w:szCs w:val="22"/>
        </w:rPr>
      </w:pPr>
      <w:r>
        <w:t xml:space="preserve">Doporučená místa vpichu pro </w:t>
      </w:r>
      <w:proofErr w:type="spellStart"/>
      <w:r>
        <w:t>glabelární</w:t>
      </w:r>
      <w:proofErr w:type="spellEnd"/>
      <w:r>
        <w:t xml:space="preserve"> </w:t>
      </w:r>
      <w:r w:rsidR="004B7EFB">
        <w:t>vrásky</w:t>
      </w:r>
      <w:r>
        <w:t xml:space="preserve"> jsou popsána níže:</w:t>
      </w:r>
    </w:p>
    <w:p w14:paraId="760AAA00" w14:textId="77777777" w:rsidR="006C3BBD" w:rsidRDefault="006C3BBD" w:rsidP="00204AAB">
      <w:pPr>
        <w:pStyle w:val="Normln1"/>
        <w:autoSpaceDE w:val="0"/>
        <w:autoSpaceDN w:val="0"/>
        <w:adjustRightInd w:val="0"/>
        <w:spacing w:line="240" w:lineRule="auto"/>
      </w:pPr>
    </w:p>
    <w:p w14:paraId="1228C1C2" w14:textId="0BC95A33" w:rsidR="006C3BBD" w:rsidRDefault="006C3BBD" w:rsidP="00204AAB">
      <w:pPr>
        <w:pStyle w:val="Normln1"/>
        <w:autoSpaceDE w:val="0"/>
        <w:autoSpaceDN w:val="0"/>
        <w:adjustRightInd w:val="0"/>
        <w:spacing w:line="240" w:lineRule="auto"/>
      </w:pPr>
    </w:p>
    <w:p w14:paraId="409DD76A" w14:textId="60FD6746" w:rsidR="006C3BBD" w:rsidRDefault="007B690C" w:rsidP="00204AAB">
      <w:pPr>
        <w:pStyle w:val="Normln1"/>
        <w:autoSpaceDE w:val="0"/>
        <w:autoSpaceDN w:val="0"/>
        <w:adjustRightInd w:val="0"/>
        <w:spacing w:line="240" w:lineRule="auto"/>
      </w:pPr>
      <w:r w:rsidRPr="00B2426B">
        <w:rPr>
          <w:noProof/>
          <w:szCs w:val="22"/>
        </w:rPr>
        <w:drawing>
          <wp:inline distT="0" distB="0" distL="0" distR="0" wp14:anchorId="4749F7A2" wp14:editId="7BADD9F7">
            <wp:extent cx="3857625" cy="293223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639" cy="294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DD03C" w14:textId="77777777" w:rsidR="006C3BBD" w:rsidRPr="006C3BBD" w:rsidRDefault="006C3BBD" w:rsidP="00204AAB">
      <w:pPr>
        <w:pStyle w:val="Normln1"/>
        <w:autoSpaceDE w:val="0"/>
        <w:autoSpaceDN w:val="0"/>
        <w:adjustRightInd w:val="0"/>
        <w:spacing w:line="240" w:lineRule="auto"/>
        <w:rPr>
          <w:u w:val="single"/>
        </w:rPr>
      </w:pPr>
      <w:r w:rsidRPr="006C3BBD">
        <w:rPr>
          <w:u w:val="single"/>
        </w:rPr>
        <w:t>Instrukce pro podání:</w:t>
      </w:r>
    </w:p>
    <w:p w14:paraId="640A2F4A" w14:textId="1830AB63" w:rsidR="006C3BBD" w:rsidRDefault="006C3BBD" w:rsidP="006C3BBD">
      <w:pPr>
        <w:pStyle w:val="Normln1"/>
        <w:autoSpaceDE w:val="0"/>
        <w:autoSpaceDN w:val="0"/>
        <w:adjustRightInd w:val="0"/>
      </w:pPr>
      <w:r>
        <w:t xml:space="preserve">Doporučená dávka je 0,25 ml roztoku (50 </w:t>
      </w:r>
      <w:proofErr w:type="spellStart"/>
      <w:r>
        <w:t>Speywood</w:t>
      </w:r>
      <w:proofErr w:type="spellEnd"/>
      <w:r>
        <w:t xml:space="preserve"> jednotek) rozdělených do 5 injekčních míst, 0,05 ml (10 </w:t>
      </w:r>
      <w:proofErr w:type="spellStart"/>
      <w:r>
        <w:t>Speywood</w:t>
      </w:r>
      <w:proofErr w:type="spellEnd"/>
      <w:r>
        <w:t xml:space="preserve"> jednotek) se podá intramuskulárně do každého z 5 míst: 2 injekce do každého </w:t>
      </w:r>
      <w:r w:rsidRPr="006C3BBD">
        <w:rPr>
          <w:i/>
        </w:rPr>
        <w:t xml:space="preserve">musculus </w:t>
      </w:r>
      <w:proofErr w:type="spellStart"/>
      <w:r w:rsidRPr="006C3BBD">
        <w:rPr>
          <w:i/>
        </w:rPr>
        <w:t>corrugator</w:t>
      </w:r>
      <w:proofErr w:type="spellEnd"/>
      <w:r>
        <w:t xml:space="preserve"> a jedna do </w:t>
      </w:r>
      <w:r w:rsidRPr="006C3BBD">
        <w:rPr>
          <w:i/>
        </w:rPr>
        <w:t xml:space="preserve">musculus </w:t>
      </w:r>
      <w:proofErr w:type="spellStart"/>
      <w:r w:rsidRPr="006C3BBD">
        <w:rPr>
          <w:i/>
        </w:rPr>
        <w:t>procerus</w:t>
      </w:r>
      <w:proofErr w:type="spellEnd"/>
      <w:r>
        <w:t xml:space="preserve"> poblíž </w:t>
      </w:r>
      <w:proofErr w:type="spellStart"/>
      <w:r>
        <w:t>nasofrontálního</w:t>
      </w:r>
      <w:proofErr w:type="spellEnd"/>
      <w:r>
        <w:t xml:space="preserve"> </w:t>
      </w:r>
      <w:r w:rsidR="005C240D">
        <w:t>úhlu</w:t>
      </w:r>
      <w:r>
        <w:t xml:space="preserve">. Anatomické orientační body mohou být snáze identifikovatelné, pokud se sledují a palpují při pacientově maximálním zamračení. Před injekcí </w:t>
      </w:r>
      <w:r w:rsidR="003138FE">
        <w:t xml:space="preserve">přiložte </w:t>
      </w:r>
      <w:r>
        <w:t xml:space="preserve">palec nebo ukazovák pevně pod hranu orbity, aby se předešlo extravazaci pod orbitální hranu. Během injekce by jehla měla směřovat nahoru a mediálně. Aby se </w:t>
      </w:r>
      <w:r w:rsidR="001A29F2">
        <w:t>snížilo</w:t>
      </w:r>
      <w:r>
        <w:t xml:space="preserve"> rizik</w:t>
      </w:r>
      <w:r w:rsidR="001A29F2">
        <w:t>o</w:t>
      </w:r>
      <w:r>
        <w:t xml:space="preserve"> ptózy, vyvarujte se podání blízko </w:t>
      </w:r>
      <w:r w:rsidRPr="001A29F2">
        <w:rPr>
          <w:i/>
        </w:rPr>
        <w:t xml:space="preserve">musculus levator </w:t>
      </w:r>
      <w:proofErr w:type="spellStart"/>
      <w:r w:rsidRPr="001A29F2">
        <w:rPr>
          <w:i/>
        </w:rPr>
        <w:t>palpebrae</w:t>
      </w:r>
      <w:proofErr w:type="spellEnd"/>
      <w:r w:rsidRPr="001A29F2">
        <w:rPr>
          <w:i/>
        </w:rPr>
        <w:t xml:space="preserve"> </w:t>
      </w:r>
      <w:proofErr w:type="spellStart"/>
      <w:r w:rsidRPr="001A29F2">
        <w:rPr>
          <w:i/>
        </w:rPr>
        <w:t>superioris</w:t>
      </w:r>
      <w:proofErr w:type="spellEnd"/>
      <w:r>
        <w:t>, zvláště u pacientů s výraznějšími depresory obočí (</w:t>
      </w:r>
      <w:proofErr w:type="spellStart"/>
      <w:r w:rsidRPr="001A29F2">
        <w:rPr>
          <w:i/>
        </w:rPr>
        <w:t>depressor</w:t>
      </w:r>
      <w:proofErr w:type="spellEnd"/>
      <w:r w:rsidRPr="001A29F2">
        <w:rPr>
          <w:i/>
        </w:rPr>
        <w:t xml:space="preserve"> </w:t>
      </w:r>
      <w:proofErr w:type="spellStart"/>
      <w:r w:rsidRPr="001A29F2">
        <w:rPr>
          <w:i/>
        </w:rPr>
        <w:t>supercilii</w:t>
      </w:r>
      <w:proofErr w:type="spellEnd"/>
      <w:r>
        <w:t xml:space="preserve">). Injekce do </w:t>
      </w:r>
      <w:r w:rsidRPr="001A29F2">
        <w:rPr>
          <w:i/>
        </w:rPr>
        <w:t xml:space="preserve">musculus </w:t>
      </w:r>
      <w:proofErr w:type="spellStart"/>
      <w:r w:rsidRPr="001A29F2">
        <w:rPr>
          <w:i/>
        </w:rPr>
        <w:t>corrugator</w:t>
      </w:r>
      <w:proofErr w:type="spellEnd"/>
      <w:r>
        <w:t xml:space="preserve"> musí být podány do střední části tohoto svalu, alespoň 1 cm nad hranu orbity.</w:t>
      </w:r>
    </w:p>
    <w:p w14:paraId="75C50B24" w14:textId="77777777" w:rsidR="006C3BBD" w:rsidRDefault="006C3BBD" w:rsidP="00204AAB">
      <w:pPr>
        <w:pStyle w:val="Normln1"/>
        <w:autoSpaceDE w:val="0"/>
        <w:autoSpaceDN w:val="0"/>
        <w:adjustRightInd w:val="0"/>
        <w:spacing w:line="240" w:lineRule="auto"/>
      </w:pPr>
    </w:p>
    <w:p w14:paraId="23494C15" w14:textId="77777777" w:rsidR="001A29F2" w:rsidRPr="001A29F2" w:rsidRDefault="001A29F2" w:rsidP="001A29F2">
      <w:pPr>
        <w:pStyle w:val="Normln1"/>
        <w:autoSpaceDE w:val="0"/>
        <w:autoSpaceDN w:val="0"/>
        <w:adjustRightInd w:val="0"/>
        <w:rPr>
          <w:u w:val="single"/>
        </w:rPr>
      </w:pPr>
      <w:r w:rsidRPr="001A29F2">
        <w:rPr>
          <w:u w:val="single"/>
        </w:rPr>
        <w:t>Obecné informace</w:t>
      </w:r>
    </w:p>
    <w:p w14:paraId="4DF8799A" w14:textId="1E2BB1CF" w:rsidR="001A29F2" w:rsidRDefault="001A29F2" w:rsidP="001A29F2">
      <w:pPr>
        <w:pStyle w:val="Normln1"/>
        <w:autoSpaceDE w:val="0"/>
        <w:autoSpaceDN w:val="0"/>
        <w:adjustRightInd w:val="0"/>
      </w:pPr>
      <w:r>
        <w:t xml:space="preserve">V případě selhání léčby nebo </w:t>
      </w:r>
      <w:r w:rsidR="003138FE">
        <w:t xml:space="preserve">sníženého </w:t>
      </w:r>
      <w:r>
        <w:t>účinku po opakovaných podáních se má použít alternativní léčebná metoda. V případě selhání léčby po prvním léčebném sezení mohou být zváženy následující přístupy:</w:t>
      </w:r>
    </w:p>
    <w:p w14:paraId="505DD6B8" w14:textId="77777777" w:rsidR="001A29F2" w:rsidRDefault="001A29F2" w:rsidP="001A29F2">
      <w:pPr>
        <w:pStyle w:val="Normln1"/>
        <w:tabs>
          <w:tab w:val="clear" w:pos="567"/>
        </w:tabs>
        <w:autoSpaceDE w:val="0"/>
        <w:autoSpaceDN w:val="0"/>
        <w:adjustRightInd w:val="0"/>
        <w:ind w:left="567" w:hanging="567"/>
      </w:pPr>
      <w:r>
        <w:t>•</w:t>
      </w:r>
      <w:r>
        <w:tab/>
        <w:t>Analýza příčin selhání, např. podání do nesprávných svalů, nevhodná injekční technika, tvorba toxin-neutralizujících protilátek;</w:t>
      </w:r>
    </w:p>
    <w:p w14:paraId="3B033F83" w14:textId="77777777" w:rsidR="006C3BBD" w:rsidRDefault="001A29F2" w:rsidP="001A29F2">
      <w:pPr>
        <w:pStyle w:val="Normln1"/>
        <w:autoSpaceDE w:val="0"/>
        <w:autoSpaceDN w:val="0"/>
        <w:adjustRightInd w:val="0"/>
        <w:spacing w:line="240" w:lineRule="auto"/>
      </w:pPr>
      <w:r>
        <w:t>•</w:t>
      </w:r>
      <w:r>
        <w:tab/>
        <w:t>Přehodnocení relevance léčby botulotoxinem A.</w:t>
      </w:r>
    </w:p>
    <w:p w14:paraId="06A8694C" w14:textId="77777777" w:rsidR="00812D16" w:rsidRPr="006B4557" w:rsidRDefault="00812D16" w:rsidP="00204AAB">
      <w:pPr>
        <w:pStyle w:val="Normln1"/>
        <w:spacing w:line="240" w:lineRule="auto"/>
        <w:rPr>
          <w:noProof/>
          <w:szCs w:val="22"/>
        </w:rPr>
      </w:pPr>
    </w:p>
    <w:p w14:paraId="05DC40E2" w14:textId="77777777" w:rsidR="00812D16" w:rsidRPr="00D93CFF" w:rsidRDefault="001E3814" w:rsidP="00AD7832">
      <w:pPr>
        <w:pStyle w:val="Normln1"/>
        <w:keepNext/>
        <w:numPr>
          <w:ilvl w:val="1"/>
          <w:numId w:val="1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Kontraindikace</w:t>
      </w:r>
    </w:p>
    <w:p w14:paraId="6DB1E162" w14:textId="77777777" w:rsidR="00812D16" w:rsidRPr="00067B16" w:rsidRDefault="00812D16" w:rsidP="0056212D">
      <w:pPr>
        <w:pStyle w:val="Normln1"/>
        <w:keepNext/>
        <w:spacing w:line="240" w:lineRule="auto"/>
        <w:rPr>
          <w:noProof/>
          <w:szCs w:val="22"/>
        </w:rPr>
      </w:pPr>
    </w:p>
    <w:p w14:paraId="5C207126" w14:textId="77777777" w:rsidR="00812D16" w:rsidRPr="007B42D3" w:rsidRDefault="001E3814" w:rsidP="00204AAB">
      <w:pPr>
        <w:pStyle w:val="Normln1"/>
        <w:spacing w:line="240" w:lineRule="auto"/>
        <w:rPr>
          <w:noProof/>
          <w:szCs w:val="22"/>
        </w:rPr>
      </w:pPr>
      <w:r>
        <w:t>Hypersenzitivita na léčivou látku nebo na kteroukoli pomocnou látku uvedenou v bodě 6.1.</w:t>
      </w:r>
    </w:p>
    <w:p w14:paraId="63A1A514" w14:textId="77777777" w:rsidR="001A29F2" w:rsidRPr="001A29F2" w:rsidRDefault="001A29F2" w:rsidP="001A29F2">
      <w:pPr>
        <w:pStyle w:val="Normln1"/>
        <w:rPr>
          <w:noProof/>
          <w:szCs w:val="22"/>
        </w:rPr>
      </w:pPr>
      <w:r w:rsidRPr="001A29F2">
        <w:rPr>
          <w:noProof/>
          <w:szCs w:val="22"/>
        </w:rPr>
        <w:t>Přítomnost infekce v navrhovaných místech podání;</w:t>
      </w:r>
    </w:p>
    <w:p w14:paraId="4B46EE25" w14:textId="3870CD21" w:rsidR="001A29F2" w:rsidRPr="001A29F2" w:rsidRDefault="001A29F2" w:rsidP="001A29F2">
      <w:pPr>
        <w:pStyle w:val="Normln1"/>
        <w:rPr>
          <w:noProof/>
          <w:szCs w:val="22"/>
        </w:rPr>
      </w:pPr>
      <w:r w:rsidRPr="001A29F2">
        <w:rPr>
          <w:noProof/>
          <w:szCs w:val="22"/>
        </w:rPr>
        <w:t>Přítomnost myasthenia gravis, Lambert</w:t>
      </w:r>
      <w:r w:rsidR="005D65E7">
        <w:rPr>
          <w:noProof/>
          <w:szCs w:val="22"/>
        </w:rPr>
        <w:t>ova</w:t>
      </w:r>
      <w:r w:rsidRPr="001A29F2">
        <w:rPr>
          <w:noProof/>
          <w:szCs w:val="22"/>
        </w:rPr>
        <w:t>-Eatonova syndromu nebo amyotrofické laterální sklerózy.</w:t>
      </w:r>
    </w:p>
    <w:p w14:paraId="7B2AE145" w14:textId="77777777" w:rsidR="00812D16" w:rsidRPr="00067B16" w:rsidRDefault="00812D16" w:rsidP="00204AAB">
      <w:pPr>
        <w:pStyle w:val="Normln1"/>
        <w:spacing w:line="240" w:lineRule="auto"/>
        <w:rPr>
          <w:noProof/>
          <w:szCs w:val="22"/>
        </w:rPr>
      </w:pPr>
    </w:p>
    <w:p w14:paraId="3711207C" w14:textId="77777777" w:rsidR="00812D16" w:rsidRPr="00067B16" w:rsidRDefault="001E3814" w:rsidP="00AD7832">
      <w:pPr>
        <w:pStyle w:val="Normln1"/>
        <w:keepNext/>
        <w:numPr>
          <w:ilvl w:val="1"/>
          <w:numId w:val="1"/>
        </w:numPr>
        <w:spacing w:line="240" w:lineRule="auto"/>
        <w:outlineLvl w:val="0"/>
        <w:rPr>
          <w:b/>
          <w:noProof/>
          <w:szCs w:val="22"/>
        </w:rPr>
      </w:pPr>
      <w:r>
        <w:rPr>
          <w:b/>
          <w:noProof/>
        </w:rPr>
        <w:lastRenderedPageBreak/>
        <w:t>Zvláštní upozornění a opatření pro použití</w:t>
      </w:r>
    </w:p>
    <w:p w14:paraId="2717F7CF" w14:textId="77777777" w:rsidR="00812D16" w:rsidRPr="001A29F2" w:rsidRDefault="00812D16" w:rsidP="0056212D">
      <w:pPr>
        <w:pStyle w:val="Normln1"/>
        <w:keepNext/>
        <w:spacing w:line="240" w:lineRule="auto"/>
        <w:ind w:left="567" w:hanging="567"/>
        <w:rPr>
          <w:noProof/>
          <w:szCs w:val="22"/>
        </w:rPr>
      </w:pPr>
    </w:p>
    <w:p w14:paraId="5D8A93F8" w14:textId="77777777" w:rsidR="001A29F2" w:rsidRPr="001A29F2" w:rsidRDefault="001A29F2" w:rsidP="0056212D">
      <w:pPr>
        <w:pStyle w:val="Normln1"/>
        <w:keepNext/>
        <w:spacing w:line="240" w:lineRule="auto"/>
        <w:ind w:left="567" w:hanging="567"/>
        <w:rPr>
          <w:noProof/>
          <w:szCs w:val="22"/>
        </w:rPr>
      </w:pPr>
      <w:r w:rsidRPr="001A29F2">
        <w:rPr>
          <w:noProof/>
          <w:szCs w:val="22"/>
        </w:rPr>
        <w:t xml:space="preserve">Je třeba věnovat pozornost tomu, aby přípravek </w:t>
      </w:r>
      <w:r>
        <w:rPr>
          <w:noProof/>
          <w:szCs w:val="22"/>
        </w:rPr>
        <w:t>Alluzience</w:t>
      </w:r>
      <w:r w:rsidRPr="001A29F2">
        <w:rPr>
          <w:noProof/>
          <w:szCs w:val="22"/>
        </w:rPr>
        <w:t xml:space="preserve"> nebyl podán do krevní cévy.</w:t>
      </w:r>
    </w:p>
    <w:p w14:paraId="285B6DC8" w14:textId="77777777" w:rsidR="001A29F2" w:rsidRPr="001A29F2" w:rsidRDefault="001A29F2" w:rsidP="0056212D">
      <w:pPr>
        <w:pStyle w:val="Normln1"/>
        <w:keepNext/>
        <w:spacing w:line="240" w:lineRule="auto"/>
        <w:ind w:left="567" w:hanging="567"/>
        <w:rPr>
          <w:noProof/>
          <w:szCs w:val="22"/>
        </w:rPr>
      </w:pPr>
    </w:p>
    <w:p w14:paraId="568F5F95" w14:textId="77777777" w:rsidR="001A29F2" w:rsidRPr="001A29F2" w:rsidRDefault="001A29F2" w:rsidP="001A29F2">
      <w:pPr>
        <w:pStyle w:val="Normln1"/>
        <w:keepNext/>
        <w:tabs>
          <w:tab w:val="clear" w:pos="567"/>
        </w:tabs>
        <w:spacing w:line="240" w:lineRule="auto"/>
        <w:rPr>
          <w:noProof/>
          <w:szCs w:val="22"/>
        </w:rPr>
      </w:pPr>
      <w:r w:rsidRPr="001A29F2">
        <w:rPr>
          <w:noProof/>
          <w:szCs w:val="22"/>
        </w:rPr>
        <w:t xml:space="preserve">Injekce </w:t>
      </w:r>
      <w:r>
        <w:rPr>
          <w:noProof/>
          <w:szCs w:val="22"/>
        </w:rPr>
        <w:t xml:space="preserve">přípravku </w:t>
      </w:r>
      <w:r w:rsidRPr="001A29F2">
        <w:rPr>
          <w:noProof/>
          <w:szCs w:val="22"/>
        </w:rPr>
        <w:t>Alluzience se nedoporučuje u pacientů s anamnézou dysfagie a aspirace.</w:t>
      </w:r>
    </w:p>
    <w:p w14:paraId="5552AD5F" w14:textId="0D51188F" w:rsidR="001A29F2" w:rsidRPr="001A29F2" w:rsidRDefault="001A29F2" w:rsidP="001A29F2">
      <w:pPr>
        <w:pStyle w:val="Normln1"/>
        <w:keepNext/>
        <w:tabs>
          <w:tab w:val="clear" w:pos="567"/>
        </w:tabs>
        <w:spacing w:line="240" w:lineRule="auto"/>
        <w:rPr>
          <w:noProof/>
          <w:szCs w:val="22"/>
        </w:rPr>
      </w:pPr>
      <w:r w:rsidRPr="001A29F2">
        <w:rPr>
          <w:noProof/>
          <w:szCs w:val="22"/>
        </w:rPr>
        <w:t xml:space="preserve">U </w:t>
      </w:r>
      <w:r w:rsidRPr="004F4618">
        <w:rPr>
          <w:noProof/>
          <w:szCs w:val="22"/>
        </w:rPr>
        <w:t>botulotoxinu</w:t>
      </w:r>
      <w:r w:rsidRPr="001A29F2">
        <w:rPr>
          <w:noProof/>
          <w:szCs w:val="22"/>
        </w:rPr>
        <w:t xml:space="preserve"> byly velmi </w:t>
      </w:r>
      <w:r>
        <w:rPr>
          <w:noProof/>
          <w:szCs w:val="22"/>
        </w:rPr>
        <w:t>vzácně</w:t>
      </w:r>
      <w:r w:rsidRPr="001A29F2">
        <w:rPr>
          <w:noProof/>
          <w:szCs w:val="22"/>
        </w:rPr>
        <w:t xml:space="preserve"> hlášeny </w:t>
      </w:r>
      <w:r>
        <w:rPr>
          <w:noProof/>
          <w:szCs w:val="22"/>
        </w:rPr>
        <w:t>n</w:t>
      </w:r>
      <w:r w:rsidRPr="001A29F2">
        <w:rPr>
          <w:noProof/>
          <w:szCs w:val="22"/>
        </w:rPr>
        <w:t>ežádoucí reakce pravděpodobně související s šířením toxinu do míst vzdálených od místa podání</w:t>
      </w:r>
      <w:r>
        <w:rPr>
          <w:noProof/>
          <w:szCs w:val="22"/>
        </w:rPr>
        <w:t>.</w:t>
      </w:r>
      <w:r w:rsidRPr="001A29F2">
        <w:rPr>
          <w:noProof/>
          <w:szCs w:val="22"/>
        </w:rPr>
        <w:t xml:space="preserve"> </w:t>
      </w:r>
      <w:r w:rsidR="00D86D11" w:rsidRPr="00D86D11">
        <w:rPr>
          <w:noProof/>
          <w:szCs w:val="22"/>
        </w:rPr>
        <w:t xml:space="preserve">Poruchy polykání a dýchání jsou závažné a mohou být příčinou </w:t>
      </w:r>
      <w:r w:rsidR="003138FE">
        <w:rPr>
          <w:noProof/>
          <w:szCs w:val="22"/>
        </w:rPr>
        <w:t>úmrtí</w:t>
      </w:r>
      <w:r w:rsidR="00D86D11" w:rsidRPr="00D86D11">
        <w:rPr>
          <w:noProof/>
          <w:szCs w:val="22"/>
        </w:rPr>
        <w:t>.</w:t>
      </w:r>
    </w:p>
    <w:p w14:paraId="5FD1F1F9" w14:textId="77777777" w:rsidR="001A29F2" w:rsidRDefault="001A29F2" w:rsidP="001A29F2">
      <w:pPr>
        <w:pStyle w:val="Normln1"/>
        <w:keepNext/>
        <w:tabs>
          <w:tab w:val="clear" w:pos="567"/>
        </w:tabs>
        <w:spacing w:line="240" w:lineRule="auto"/>
        <w:rPr>
          <w:noProof/>
          <w:szCs w:val="22"/>
        </w:rPr>
      </w:pPr>
    </w:p>
    <w:p w14:paraId="792566B5" w14:textId="77777777" w:rsidR="00D86D11" w:rsidRPr="001A29F2" w:rsidRDefault="00D86D11" w:rsidP="001A29F2">
      <w:pPr>
        <w:pStyle w:val="Normln1"/>
        <w:keepNext/>
        <w:tabs>
          <w:tab w:val="clear" w:pos="567"/>
        </w:tabs>
        <w:spacing w:line="240" w:lineRule="auto"/>
        <w:rPr>
          <w:noProof/>
          <w:szCs w:val="22"/>
        </w:rPr>
      </w:pPr>
    </w:p>
    <w:p w14:paraId="2AE22F75" w14:textId="1904F769" w:rsidR="001A29F2" w:rsidRPr="001A29F2" w:rsidRDefault="003138FE" w:rsidP="001A29F2">
      <w:pPr>
        <w:pStyle w:val="Normln1"/>
        <w:keepNext/>
        <w:tabs>
          <w:tab w:val="clear" w:pos="567"/>
        </w:tabs>
        <w:spacing w:line="240" w:lineRule="auto"/>
        <w:rPr>
          <w:noProof/>
          <w:szCs w:val="22"/>
        </w:rPr>
      </w:pPr>
      <w:r>
        <w:rPr>
          <w:noProof/>
          <w:szCs w:val="22"/>
        </w:rPr>
        <w:t>Velmi vzácně byly p</w:t>
      </w:r>
      <w:r w:rsidR="001A29F2" w:rsidRPr="001A29F2">
        <w:rPr>
          <w:noProof/>
          <w:szCs w:val="22"/>
        </w:rPr>
        <w:t>o léčbě botulotoxinem A nebo B hlášeny případy úmrtí, příležitostně v souvislosti s dysfagií, pneumopatií (</w:t>
      </w:r>
      <w:r w:rsidR="00D86D11">
        <w:rPr>
          <w:noProof/>
          <w:szCs w:val="22"/>
        </w:rPr>
        <w:t>zahrnující</w:t>
      </w:r>
      <w:r w:rsidR="001A29F2" w:rsidRPr="001A29F2">
        <w:rPr>
          <w:noProof/>
          <w:szCs w:val="22"/>
        </w:rPr>
        <w:t xml:space="preserve"> </w:t>
      </w:r>
      <w:r w:rsidR="00D86D11">
        <w:rPr>
          <w:noProof/>
          <w:szCs w:val="22"/>
        </w:rPr>
        <w:t>dyspnoeu,</w:t>
      </w:r>
      <w:r w:rsidR="001A29F2" w:rsidRPr="001A29F2">
        <w:rPr>
          <w:noProof/>
          <w:szCs w:val="22"/>
        </w:rPr>
        <w:t xml:space="preserve"> respirační selhání, zástav</w:t>
      </w:r>
      <w:r w:rsidR="00D86D11">
        <w:rPr>
          <w:noProof/>
          <w:szCs w:val="22"/>
        </w:rPr>
        <w:t>u</w:t>
      </w:r>
      <w:r w:rsidR="001A29F2" w:rsidRPr="001A29F2">
        <w:rPr>
          <w:noProof/>
          <w:szCs w:val="22"/>
        </w:rPr>
        <w:t xml:space="preserve"> </w:t>
      </w:r>
      <w:r w:rsidR="00D86D11">
        <w:rPr>
          <w:noProof/>
          <w:szCs w:val="22"/>
        </w:rPr>
        <w:t>dechu a další příznaky</w:t>
      </w:r>
      <w:r w:rsidR="001A29F2" w:rsidRPr="001A29F2">
        <w:rPr>
          <w:noProof/>
          <w:szCs w:val="22"/>
        </w:rPr>
        <w:t>) a/nebo u pacientů s významnou astenií.</w:t>
      </w:r>
    </w:p>
    <w:p w14:paraId="42435F2A" w14:textId="77777777" w:rsidR="001A29F2" w:rsidRPr="001A29F2" w:rsidRDefault="001A29F2" w:rsidP="001A29F2">
      <w:pPr>
        <w:pStyle w:val="Normln1"/>
        <w:keepNext/>
        <w:tabs>
          <w:tab w:val="clear" w:pos="567"/>
        </w:tabs>
        <w:spacing w:line="240" w:lineRule="auto"/>
        <w:rPr>
          <w:noProof/>
          <w:szCs w:val="22"/>
        </w:rPr>
      </w:pPr>
    </w:p>
    <w:p w14:paraId="2DA6A8EC" w14:textId="77777777" w:rsidR="001A29F2" w:rsidRPr="001A29F2" w:rsidRDefault="00D86D11" w:rsidP="001A29F2">
      <w:pPr>
        <w:pStyle w:val="Normln1"/>
        <w:keepNext/>
        <w:tabs>
          <w:tab w:val="clear" w:pos="567"/>
        </w:tabs>
        <w:spacing w:line="240" w:lineRule="auto"/>
        <w:rPr>
          <w:noProof/>
          <w:szCs w:val="22"/>
        </w:rPr>
      </w:pPr>
      <w:r w:rsidRPr="00D86D11">
        <w:rPr>
          <w:noProof/>
          <w:szCs w:val="22"/>
        </w:rPr>
        <w:t>Pacienti mají být poučeni, aby okamžitě vyhledali lékařskou pomoc v případě, že nastanou obtíže s</w:t>
      </w:r>
      <w:r w:rsidR="006B33D9">
        <w:rPr>
          <w:noProof/>
          <w:szCs w:val="22"/>
        </w:rPr>
        <w:t> </w:t>
      </w:r>
      <w:r w:rsidRPr="00D86D11">
        <w:rPr>
          <w:noProof/>
          <w:szCs w:val="22"/>
        </w:rPr>
        <w:t>polykáním, s řečí nebo s dýcháním.</w:t>
      </w:r>
    </w:p>
    <w:p w14:paraId="6DAB3754" w14:textId="77777777" w:rsidR="001A29F2" w:rsidRPr="001A29F2" w:rsidRDefault="001A29F2" w:rsidP="001A29F2">
      <w:pPr>
        <w:pStyle w:val="Normln1"/>
        <w:keepNext/>
        <w:tabs>
          <w:tab w:val="clear" w:pos="567"/>
        </w:tabs>
        <w:spacing w:line="240" w:lineRule="auto"/>
        <w:rPr>
          <w:noProof/>
          <w:szCs w:val="22"/>
        </w:rPr>
      </w:pPr>
    </w:p>
    <w:p w14:paraId="5C768A4C" w14:textId="77777777" w:rsidR="006B33D9" w:rsidRPr="006B33D9" w:rsidRDefault="006B33D9" w:rsidP="006B33D9">
      <w:pPr>
        <w:pStyle w:val="Normln1"/>
        <w:keepNext/>
        <w:rPr>
          <w:noProof/>
          <w:szCs w:val="22"/>
        </w:rPr>
      </w:pPr>
      <w:r w:rsidRPr="006B33D9">
        <w:rPr>
          <w:noProof/>
          <w:szCs w:val="22"/>
        </w:rPr>
        <w:t xml:space="preserve">Přípravek </w:t>
      </w:r>
      <w:r>
        <w:rPr>
          <w:noProof/>
          <w:szCs w:val="22"/>
        </w:rPr>
        <w:t>Alluzience</w:t>
      </w:r>
      <w:r w:rsidRPr="006B33D9">
        <w:rPr>
          <w:noProof/>
          <w:szCs w:val="22"/>
        </w:rPr>
        <w:t xml:space="preserve"> má být </w:t>
      </w:r>
      <w:r>
        <w:rPr>
          <w:noProof/>
          <w:szCs w:val="22"/>
        </w:rPr>
        <w:t>použit</w:t>
      </w:r>
      <w:r w:rsidRPr="006B33D9">
        <w:rPr>
          <w:noProof/>
          <w:szCs w:val="22"/>
        </w:rPr>
        <w:t xml:space="preserve"> s opatrností u pacientů s rizikem nebo s klinickými známkami </w:t>
      </w:r>
      <w:r>
        <w:rPr>
          <w:noProof/>
          <w:szCs w:val="22"/>
        </w:rPr>
        <w:t xml:space="preserve">výrazné </w:t>
      </w:r>
      <w:r w:rsidRPr="006B33D9">
        <w:rPr>
          <w:noProof/>
          <w:szCs w:val="22"/>
        </w:rPr>
        <w:t>poruchy neuromuskulárního přenosu. Tito pacienti mohou mít zvýšenou citlivost na agens</w:t>
      </w:r>
      <w:r>
        <w:rPr>
          <w:noProof/>
          <w:szCs w:val="22"/>
        </w:rPr>
        <w:t xml:space="preserve"> jako je botulotoxin a po léčbě může následovat</w:t>
      </w:r>
      <w:r w:rsidRPr="006B33D9">
        <w:rPr>
          <w:noProof/>
          <w:szCs w:val="22"/>
        </w:rPr>
        <w:t xml:space="preserve"> nadměrn</w:t>
      </w:r>
      <w:r>
        <w:rPr>
          <w:noProof/>
          <w:szCs w:val="22"/>
        </w:rPr>
        <w:t>á</w:t>
      </w:r>
      <w:r w:rsidRPr="006B33D9">
        <w:rPr>
          <w:noProof/>
          <w:szCs w:val="22"/>
        </w:rPr>
        <w:t xml:space="preserve"> svalov</w:t>
      </w:r>
      <w:r>
        <w:rPr>
          <w:noProof/>
          <w:szCs w:val="22"/>
        </w:rPr>
        <w:t>á</w:t>
      </w:r>
      <w:r w:rsidRPr="006B33D9">
        <w:rPr>
          <w:noProof/>
          <w:szCs w:val="22"/>
        </w:rPr>
        <w:t xml:space="preserve"> slabost.</w:t>
      </w:r>
    </w:p>
    <w:p w14:paraId="4AA47E52" w14:textId="77777777" w:rsidR="001A29F2" w:rsidRDefault="001A29F2" w:rsidP="001A29F2">
      <w:pPr>
        <w:pStyle w:val="Normln1"/>
        <w:keepNext/>
        <w:tabs>
          <w:tab w:val="clear" w:pos="567"/>
        </w:tabs>
        <w:spacing w:line="240" w:lineRule="auto"/>
        <w:rPr>
          <w:noProof/>
          <w:szCs w:val="22"/>
        </w:rPr>
      </w:pPr>
    </w:p>
    <w:p w14:paraId="238EDB2B" w14:textId="491C3A6E" w:rsidR="006B33D9" w:rsidRPr="001A29F2" w:rsidRDefault="006B33D9" w:rsidP="001A29F2">
      <w:pPr>
        <w:pStyle w:val="Normln1"/>
        <w:keepNext/>
        <w:tabs>
          <w:tab w:val="clear" w:pos="567"/>
        </w:tabs>
        <w:spacing w:line="240" w:lineRule="auto"/>
        <w:rPr>
          <w:noProof/>
          <w:szCs w:val="22"/>
        </w:rPr>
      </w:pPr>
      <w:r w:rsidRPr="006B33D9">
        <w:rPr>
          <w:noProof/>
          <w:szCs w:val="22"/>
        </w:rPr>
        <w:t xml:space="preserve">Před podáním přípravku </w:t>
      </w:r>
      <w:r>
        <w:rPr>
          <w:noProof/>
          <w:szCs w:val="22"/>
        </w:rPr>
        <w:t>Alluzience</w:t>
      </w:r>
      <w:r w:rsidRPr="006B33D9">
        <w:rPr>
          <w:noProof/>
          <w:szCs w:val="22"/>
        </w:rPr>
        <w:t xml:space="preserve"> je nezbytné vyšetřit anatomii obličeje pacienta. </w:t>
      </w:r>
      <w:r w:rsidR="003138FE">
        <w:rPr>
          <w:noProof/>
          <w:szCs w:val="22"/>
        </w:rPr>
        <w:t>V úvahu má být brána o</w:t>
      </w:r>
      <w:r w:rsidRPr="006B33D9">
        <w:rPr>
          <w:noProof/>
          <w:szCs w:val="22"/>
        </w:rPr>
        <w:t>bličejová asymetrie, ptóza, nadměrná dermatochalasie, zjizvení a jakékoli změny anatomie, jako výsledek předchozí chirurgické intervence</w:t>
      </w:r>
      <w:r w:rsidR="003138FE">
        <w:rPr>
          <w:noProof/>
          <w:szCs w:val="22"/>
        </w:rPr>
        <w:t>.</w:t>
      </w:r>
    </w:p>
    <w:p w14:paraId="3A7AD01F" w14:textId="77777777" w:rsidR="001A29F2" w:rsidRPr="001A29F2" w:rsidRDefault="001A29F2" w:rsidP="001A29F2">
      <w:pPr>
        <w:pStyle w:val="Normln1"/>
        <w:keepNext/>
        <w:tabs>
          <w:tab w:val="clear" w:pos="567"/>
        </w:tabs>
        <w:spacing w:line="240" w:lineRule="auto"/>
        <w:rPr>
          <w:noProof/>
          <w:szCs w:val="22"/>
        </w:rPr>
      </w:pPr>
    </w:p>
    <w:p w14:paraId="148F0464" w14:textId="77777777" w:rsidR="001A29F2" w:rsidRPr="001A29F2" w:rsidRDefault="006B33D9" w:rsidP="001A29F2">
      <w:pPr>
        <w:pStyle w:val="Normln1"/>
        <w:keepNext/>
        <w:tabs>
          <w:tab w:val="clear" w:pos="567"/>
        </w:tabs>
        <w:spacing w:line="240" w:lineRule="auto"/>
        <w:rPr>
          <w:noProof/>
          <w:szCs w:val="22"/>
        </w:rPr>
      </w:pPr>
      <w:r w:rsidRPr="006B33D9">
        <w:rPr>
          <w:noProof/>
          <w:szCs w:val="22"/>
        </w:rPr>
        <w:t xml:space="preserve">Doporučená dávka a frekvence podání přípravku </w:t>
      </w:r>
      <w:r>
        <w:rPr>
          <w:noProof/>
          <w:szCs w:val="22"/>
        </w:rPr>
        <w:t>Alluzience</w:t>
      </w:r>
      <w:r w:rsidRPr="006B33D9">
        <w:rPr>
          <w:noProof/>
          <w:szCs w:val="22"/>
        </w:rPr>
        <w:t xml:space="preserve"> nesmí být překročena.</w:t>
      </w:r>
    </w:p>
    <w:p w14:paraId="4DA81C9C" w14:textId="77777777" w:rsidR="001A29F2" w:rsidRPr="001A29F2" w:rsidRDefault="001A29F2" w:rsidP="001A29F2">
      <w:pPr>
        <w:pStyle w:val="Normln1"/>
        <w:keepNext/>
        <w:tabs>
          <w:tab w:val="clear" w:pos="567"/>
        </w:tabs>
        <w:spacing w:line="240" w:lineRule="auto"/>
        <w:rPr>
          <w:noProof/>
          <w:szCs w:val="22"/>
        </w:rPr>
      </w:pPr>
    </w:p>
    <w:p w14:paraId="455E73EC" w14:textId="77777777" w:rsidR="001A29F2" w:rsidRPr="001A29F2" w:rsidRDefault="006B33D9" w:rsidP="001A29F2">
      <w:pPr>
        <w:pStyle w:val="Normln1"/>
        <w:keepNext/>
        <w:tabs>
          <w:tab w:val="clear" w:pos="567"/>
        </w:tabs>
        <w:spacing w:line="240" w:lineRule="auto"/>
        <w:rPr>
          <w:noProof/>
          <w:szCs w:val="22"/>
        </w:rPr>
      </w:pPr>
      <w:r>
        <w:rPr>
          <w:noProof/>
          <w:szCs w:val="22"/>
        </w:rPr>
        <w:t>P</w:t>
      </w:r>
      <w:r w:rsidR="001A29F2" w:rsidRPr="001A29F2">
        <w:rPr>
          <w:noProof/>
          <w:szCs w:val="22"/>
        </w:rPr>
        <w:t>acient</w:t>
      </w:r>
      <w:r>
        <w:rPr>
          <w:noProof/>
          <w:szCs w:val="22"/>
        </w:rPr>
        <w:t>i</w:t>
      </w:r>
      <w:r w:rsidR="001A29F2" w:rsidRPr="001A29F2">
        <w:rPr>
          <w:noProof/>
          <w:szCs w:val="22"/>
        </w:rPr>
        <w:t xml:space="preserve"> léčen</w:t>
      </w:r>
      <w:r>
        <w:rPr>
          <w:noProof/>
          <w:szCs w:val="22"/>
        </w:rPr>
        <w:t>í</w:t>
      </w:r>
      <w:r w:rsidR="001A29F2" w:rsidRPr="001A29F2">
        <w:rPr>
          <w:noProof/>
          <w:szCs w:val="22"/>
        </w:rPr>
        <w:t xml:space="preserve"> doporučenou dávkou </w:t>
      </w:r>
      <w:r>
        <w:rPr>
          <w:noProof/>
          <w:szCs w:val="22"/>
        </w:rPr>
        <w:t>mohou pocítit</w:t>
      </w:r>
      <w:r w:rsidR="001A29F2" w:rsidRPr="001A29F2">
        <w:rPr>
          <w:noProof/>
          <w:szCs w:val="22"/>
        </w:rPr>
        <w:t xml:space="preserve"> přehnan</w:t>
      </w:r>
      <w:r>
        <w:rPr>
          <w:noProof/>
          <w:szCs w:val="22"/>
        </w:rPr>
        <w:t>ou</w:t>
      </w:r>
      <w:r w:rsidR="001A29F2" w:rsidRPr="001A29F2">
        <w:rPr>
          <w:noProof/>
          <w:szCs w:val="22"/>
        </w:rPr>
        <w:t xml:space="preserve"> svalo</w:t>
      </w:r>
      <w:r>
        <w:rPr>
          <w:noProof/>
          <w:szCs w:val="22"/>
        </w:rPr>
        <w:t>vou</w:t>
      </w:r>
      <w:r w:rsidR="001A29F2" w:rsidRPr="001A29F2">
        <w:rPr>
          <w:noProof/>
          <w:szCs w:val="22"/>
        </w:rPr>
        <w:t xml:space="preserve"> slabost.</w:t>
      </w:r>
    </w:p>
    <w:p w14:paraId="53920A1D" w14:textId="77777777" w:rsidR="001A29F2" w:rsidRDefault="001A29F2" w:rsidP="001A29F2">
      <w:pPr>
        <w:pStyle w:val="Normln1"/>
        <w:keepNext/>
        <w:tabs>
          <w:tab w:val="clear" w:pos="567"/>
        </w:tabs>
        <w:spacing w:line="240" w:lineRule="auto"/>
        <w:rPr>
          <w:noProof/>
          <w:szCs w:val="22"/>
        </w:rPr>
      </w:pPr>
    </w:p>
    <w:p w14:paraId="249ACB29" w14:textId="77777777" w:rsidR="006B33D9" w:rsidRPr="001A29F2" w:rsidRDefault="006B33D9" w:rsidP="001A29F2">
      <w:pPr>
        <w:pStyle w:val="Normln1"/>
        <w:keepNext/>
        <w:tabs>
          <w:tab w:val="clear" w:pos="567"/>
        </w:tabs>
        <w:spacing w:line="240" w:lineRule="auto"/>
        <w:rPr>
          <w:noProof/>
          <w:szCs w:val="22"/>
        </w:rPr>
      </w:pPr>
      <w:r w:rsidRPr="006B33D9">
        <w:rPr>
          <w:noProof/>
          <w:szCs w:val="22"/>
        </w:rPr>
        <w:t xml:space="preserve">Opatrnosti je třeba, jestliže se </w:t>
      </w:r>
      <w:r>
        <w:rPr>
          <w:noProof/>
          <w:szCs w:val="22"/>
        </w:rPr>
        <w:t>přípravek Alluzience</w:t>
      </w:r>
      <w:r w:rsidRPr="006B33D9">
        <w:rPr>
          <w:noProof/>
          <w:szCs w:val="22"/>
        </w:rPr>
        <w:t xml:space="preserve"> používá v přítomnosti zánětu v navrženém místě podání nebo pokud cílový sval</w:t>
      </w:r>
      <w:r>
        <w:rPr>
          <w:noProof/>
          <w:szCs w:val="22"/>
        </w:rPr>
        <w:t xml:space="preserve"> vykazuje/cílové svaly</w:t>
      </w:r>
      <w:r w:rsidRPr="006B33D9">
        <w:rPr>
          <w:noProof/>
          <w:szCs w:val="22"/>
        </w:rPr>
        <w:t xml:space="preserve"> vykazuj</w:t>
      </w:r>
      <w:r>
        <w:rPr>
          <w:noProof/>
          <w:szCs w:val="22"/>
        </w:rPr>
        <w:t>í</w:t>
      </w:r>
      <w:r w:rsidRPr="006B33D9">
        <w:rPr>
          <w:noProof/>
          <w:szCs w:val="22"/>
        </w:rPr>
        <w:t xml:space="preserve"> nadměrnou slabost nebo atrofii.</w:t>
      </w:r>
    </w:p>
    <w:p w14:paraId="6170A874" w14:textId="77777777" w:rsidR="001A29F2" w:rsidRPr="001A29F2" w:rsidRDefault="001A29F2" w:rsidP="001A29F2">
      <w:pPr>
        <w:pStyle w:val="Normln1"/>
        <w:keepNext/>
        <w:tabs>
          <w:tab w:val="clear" w:pos="567"/>
        </w:tabs>
        <w:spacing w:line="240" w:lineRule="auto"/>
        <w:rPr>
          <w:noProof/>
          <w:szCs w:val="22"/>
        </w:rPr>
      </w:pPr>
    </w:p>
    <w:p w14:paraId="39FB4BB3" w14:textId="77777777" w:rsidR="001A29F2" w:rsidRPr="001A29F2" w:rsidRDefault="006B33D9" w:rsidP="001A29F2">
      <w:pPr>
        <w:pStyle w:val="Normln1"/>
        <w:keepNext/>
        <w:tabs>
          <w:tab w:val="clear" w:pos="567"/>
        </w:tabs>
        <w:spacing w:line="240" w:lineRule="auto"/>
        <w:rPr>
          <w:noProof/>
          <w:szCs w:val="22"/>
        </w:rPr>
      </w:pPr>
      <w:r w:rsidRPr="006B33D9">
        <w:rPr>
          <w:noProof/>
          <w:szCs w:val="22"/>
        </w:rPr>
        <w:t xml:space="preserve">Tak jako u všech intramuskulárních injekcí, </w:t>
      </w:r>
      <w:r>
        <w:rPr>
          <w:noProof/>
          <w:szCs w:val="22"/>
        </w:rPr>
        <w:t>použití</w:t>
      </w:r>
      <w:r w:rsidRPr="006B33D9">
        <w:rPr>
          <w:noProof/>
          <w:szCs w:val="22"/>
        </w:rPr>
        <w:t xml:space="preserve"> přípravk</w:t>
      </w:r>
      <w:r>
        <w:rPr>
          <w:noProof/>
          <w:szCs w:val="22"/>
        </w:rPr>
        <w:t>u</w:t>
      </w:r>
      <w:r w:rsidRPr="006B33D9">
        <w:rPr>
          <w:noProof/>
          <w:szCs w:val="22"/>
        </w:rPr>
        <w:t xml:space="preserve"> </w:t>
      </w:r>
      <w:r>
        <w:rPr>
          <w:noProof/>
          <w:szCs w:val="22"/>
        </w:rPr>
        <w:t>Alluzience</w:t>
      </w:r>
      <w:r w:rsidRPr="006B33D9">
        <w:rPr>
          <w:noProof/>
          <w:szCs w:val="22"/>
        </w:rPr>
        <w:t xml:space="preserve"> se nedoporučuje u pacientů, kteří mají prodlouženou dobu krvácivosti.</w:t>
      </w:r>
    </w:p>
    <w:p w14:paraId="7893D888" w14:textId="77777777" w:rsidR="001A29F2" w:rsidRPr="001A29F2" w:rsidRDefault="001A29F2" w:rsidP="001A29F2">
      <w:pPr>
        <w:pStyle w:val="Normln1"/>
        <w:keepNext/>
        <w:tabs>
          <w:tab w:val="clear" w:pos="567"/>
        </w:tabs>
        <w:spacing w:line="240" w:lineRule="auto"/>
        <w:rPr>
          <w:noProof/>
          <w:szCs w:val="22"/>
        </w:rPr>
      </w:pPr>
    </w:p>
    <w:p w14:paraId="5AE6D6AF" w14:textId="6E1AA3ED" w:rsidR="001A29F2" w:rsidRPr="001A29F2" w:rsidRDefault="006B33D9" w:rsidP="001A29F2">
      <w:pPr>
        <w:pStyle w:val="Normln1"/>
        <w:keepNext/>
        <w:tabs>
          <w:tab w:val="clear" w:pos="567"/>
        </w:tabs>
        <w:spacing w:line="240" w:lineRule="auto"/>
        <w:rPr>
          <w:noProof/>
          <w:szCs w:val="22"/>
        </w:rPr>
      </w:pPr>
      <w:r>
        <w:rPr>
          <w:noProof/>
          <w:szCs w:val="22"/>
        </w:rPr>
        <w:t xml:space="preserve">Jedna </w:t>
      </w:r>
      <w:r w:rsidR="00122EF9">
        <w:rPr>
          <w:noProof/>
          <w:szCs w:val="22"/>
        </w:rPr>
        <w:t xml:space="preserve">injekční </w:t>
      </w:r>
      <w:r>
        <w:rPr>
          <w:noProof/>
          <w:szCs w:val="22"/>
        </w:rPr>
        <w:t>lahvička p</w:t>
      </w:r>
      <w:r w:rsidRPr="006B33D9">
        <w:rPr>
          <w:noProof/>
          <w:szCs w:val="22"/>
        </w:rPr>
        <w:t>říprav</w:t>
      </w:r>
      <w:r>
        <w:rPr>
          <w:noProof/>
          <w:szCs w:val="22"/>
        </w:rPr>
        <w:t>ku</w:t>
      </w:r>
      <w:r w:rsidRPr="006B33D9">
        <w:rPr>
          <w:noProof/>
          <w:szCs w:val="22"/>
        </w:rPr>
        <w:t xml:space="preserve"> </w:t>
      </w:r>
      <w:r w:rsidRPr="001A29F2">
        <w:rPr>
          <w:noProof/>
          <w:szCs w:val="22"/>
        </w:rPr>
        <w:t xml:space="preserve">Alluzience </w:t>
      </w:r>
      <w:r w:rsidRPr="006B33D9">
        <w:rPr>
          <w:noProof/>
          <w:szCs w:val="22"/>
        </w:rPr>
        <w:t xml:space="preserve">se </w:t>
      </w:r>
      <w:r>
        <w:rPr>
          <w:noProof/>
          <w:szCs w:val="22"/>
        </w:rPr>
        <w:t>musí</w:t>
      </w:r>
      <w:r w:rsidRPr="006B33D9">
        <w:rPr>
          <w:noProof/>
          <w:szCs w:val="22"/>
        </w:rPr>
        <w:t xml:space="preserve"> použít pro léčbu jednoho pacienta během jednoho sezení. </w:t>
      </w:r>
    </w:p>
    <w:p w14:paraId="64C6EC63" w14:textId="77777777" w:rsidR="001A29F2" w:rsidRPr="001A29F2" w:rsidRDefault="001A29F2" w:rsidP="001A29F2">
      <w:pPr>
        <w:pStyle w:val="Normln1"/>
        <w:keepNext/>
        <w:tabs>
          <w:tab w:val="clear" w:pos="567"/>
        </w:tabs>
        <w:spacing w:line="240" w:lineRule="auto"/>
        <w:rPr>
          <w:noProof/>
          <w:szCs w:val="22"/>
        </w:rPr>
      </w:pPr>
    </w:p>
    <w:p w14:paraId="3E67729F" w14:textId="77777777" w:rsidR="001A29F2" w:rsidRPr="001A29F2" w:rsidRDefault="006B33D9" w:rsidP="001A29F2">
      <w:pPr>
        <w:pStyle w:val="Normln1"/>
        <w:keepNext/>
        <w:tabs>
          <w:tab w:val="clear" w:pos="567"/>
        </w:tabs>
        <w:spacing w:line="240" w:lineRule="auto"/>
        <w:rPr>
          <w:noProof/>
          <w:szCs w:val="22"/>
        </w:rPr>
      </w:pPr>
      <w:r w:rsidRPr="006B33D9">
        <w:rPr>
          <w:noProof/>
          <w:szCs w:val="22"/>
        </w:rPr>
        <w:t>Zbytek nepoužitého přípravku se musí zlikvidovat tak, jak je uvedeno v bodě 6.6. Zvláštní opatrnosti je zapotřebí při inaktivaci a likvidaci zbylého nepoužitého roztoku (viz bod 6.6).</w:t>
      </w:r>
    </w:p>
    <w:p w14:paraId="21A523BE" w14:textId="77777777" w:rsidR="001A29F2" w:rsidRPr="001A29F2" w:rsidRDefault="001A29F2" w:rsidP="0056212D">
      <w:pPr>
        <w:pStyle w:val="Normln1"/>
        <w:keepNext/>
        <w:spacing w:line="240" w:lineRule="auto"/>
        <w:ind w:left="567" w:hanging="567"/>
        <w:rPr>
          <w:noProof/>
          <w:szCs w:val="22"/>
        </w:rPr>
      </w:pPr>
    </w:p>
    <w:p w14:paraId="5758EBAA" w14:textId="77777777" w:rsidR="00D5445B" w:rsidRPr="00D5445B" w:rsidRDefault="00D5445B" w:rsidP="00D5445B">
      <w:pPr>
        <w:pStyle w:val="Normln1"/>
        <w:keepNext/>
        <w:ind w:left="567" w:hanging="567"/>
        <w:rPr>
          <w:noProof/>
          <w:szCs w:val="22"/>
          <w:u w:val="single"/>
        </w:rPr>
      </w:pPr>
      <w:r w:rsidRPr="00D5445B">
        <w:rPr>
          <w:noProof/>
          <w:szCs w:val="22"/>
          <w:u w:val="single"/>
        </w:rPr>
        <w:t>Tvorba protilátek</w:t>
      </w:r>
    </w:p>
    <w:p w14:paraId="0955C914" w14:textId="77777777" w:rsidR="001A29F2" w:rsidRPr="001A29F2" w:rsidRDefault="00D5445B" w:rsidP="00D5445B">
      <w:pPr>
        <w:pStyle w:val="Normln1"/>
        <w:keepNext/>
        <w:tabs>
          <w:tab w:val="clear" w:pos="567"/>
        </w:tabs>
        <w:spacing w:line="240" w:lineRule="auto"/>
        <w:rPr>
          <w:noProof/>
          <w:szCs w:val="22"/>
        </w:rPr>
      </w:pPr>
      <w:r w:rsidRPr="00D5445B">
        <w:rPr>
          <w:noProof/>
          <w:szCs w:val="22"/>
        </w:rPr>
        <w:t xml:space="preserve">Injekce v častějším intervalu nebo ve vyšší dávce mohou zvýšit riziko tvorby </w:t>
      </w:r>
      <w:r>
        <w:rPr>
          <w:noProof/>
          <w:szCs w:val="22"/>
        </w:rPr>
        <w:t xml:space="preserve">neutralizačních </w:t>
      </w:r>
      <w:r w:rsidRPr="00D5445B">
        <w:rPr>
          <w:noProof/>
          <w:szCs w:val="22"/>
        </w:rPr>
        <w:t>protilátek proti botulotoxinu. Klinicky může tvorba neutralizujících protilátek snížit účinnost následné léčby.</w:t>
      </w:r>
    </w:p>
    <w:p w14:paraId="3B0FC275" w14:textId="77777777" w:rsidR="001A29F2" w:rsidRPr="001A29F2" w:rsidRDefault="001A29F2" w:rsidP="0056212D">
      <w:pPr>
        <w:pStyle w:val="Normln1"/>
        <w:keepNext/>
        <w:spacing w:line="240" w:lineRule="auto"/>
        <w:ind w:left="567" w:hanging="567"/>
        <w:rPr>
          <w:noProof/>
          <w:szCs w:val="22"/>
        </w:rPr>
      </w:pPr>
    </w:p>
    <w:p w14:paraId="66A3D333" w14:textId="77777777" w:rsidR="002856C0" w:rsidRDefault="00454B91" w:rsidP="002856C0">
      <w:pPr>
        <w:pStyle w:val="Normln1"/>
        <w:tabs>
          <w:tab w:val="clear" w:pos="567"/>
        </w:tabs>
        <w:spacing w:line="240" w:lineRule="auto"/>
        <w:rPr>
          <w:noProof/>
          <w:u w:val="single"/>
        </w:rPr>
      </w:pPr>
      <w:r>
        <w:rPr>
          <w:noProof/>
          <w:u w:val="single"/>
        </w:rPr>
        <w:t>Sledovatelnost</w:t>
      </w:r>
    </w:p>
    <w:p w14:paraId="35EA3D6B" w14:textId="77777777" w:rsidR="002856C0" w:rsidRDefault="001E3814" w:rsidP="002856C0">
      <w:pPr>
        <w:pStyle w:val="Normln1"/>
        <w:tabs>
          <w:tab w:val="clear" w:pos="567"/>
        </w:tabs>
        <w:spacing w:line="240" w:lineRule="auto"/>
        <w:rPr>
          <w:noProof/>
        </w:rPr>
      </w:pPr>
      <w:bookmarkStart w:id="0" w:name="_Hlk8283678"/>
      <w:r w:rsidRPr="002856C0">
        <w:rPr>
          <w:noProof/>
        </w:rPr>
        <w:t>Aby se z</w:t>
      </w:r>
      <w:r w:rsidR="00344BB6">
        <w:rPr>
          <w:noProof/>
        </w:rPr>
        <w:t>l</w:t>
      </w:r>
      <w:r w:rsidRPr="002856C0">
        <w:rPr>
          <w:noProof/>
        </w:rPr>
        <w:t xml:space="preserve">epšila </w:t>
      </w:r>
      <w:r w:rsidR="00454B91">
        <w:rPr>
          <w:noProof/>
        </w:rPr>
        <w:t>sledovatelnost</w:t>
      </w:r>
      <w:r w:rsidRPr="002856C0">
        <w:rPr>
          <w:noProof/>
        </w:rPr>
        <w:t xml:space="preserve"> biologických léčivých přípravků </w:t>
      </w:r>
      <w:r w:rsidR="0088746A">
        <w:rPr>
          <w:noProof/>
        </w:rPr>
        <w:t>má se</w:t>
      </w:r>
      <w:r w:rsidRPr="002856C0">
        <w:rPr>
          <w:noProof/>
        </w:rPr>
        <w:t xml:space="preserve"> </w:t>
      </w:r>
      <w:r>
        <w:rPr>
          <w:noProof/>
        </w:rPr>
        <w:t>přehledně</w:t>
      </w:r>
      <w:r w:rsidRPr="002856C0">
        <w:rPr>
          <w:noProof/>
        </w:rPr>
        <w:t xml:space="preserve"> </w:t>
      </w:r>
      <w:r>
        <w:rPr>
          <w:noProof/>
        </w:rPr>
        <w:t>zaznamen</w:t>
      </w:r>
      <w:r w:rsidR="0088746A">
        <w:rPr>
          <w:noProof/>
        </w:rPr>
        <w:t>at</w:t>
      </w:r>
      <w:r>
        <w:rPr>
          <w:noProof/>
        </w:rPr>
        <w:t xml:space="preserve"> </w:t>
      </w:r>
      <w:r w:rsidRPr="002856C0">
        <w:rPr>
          <w:noProof/>
        </w:rPr>
        <w:t>název podaného přípravku a číslo šarže</w:t>
      </w:r>
      <w:r>
        <w:rPr>
          <w:noProof/>
        </w:rPr>
        <w:t>.</w:t>
      </w:r>
    </w:p>
    <w:bookmarkEnd w:id="0"/>
    <w:p w14:paraId="76430F4E" w14:textId="77777777" w:rsidR="002856C0" w:rsidRDefault="002856C0" w:rsidP="00204AAB">
      <w:pPr>
        <w:pStyle w:val="Normln1"/>
        <w:spacing w:line="240" w:lineRule="auto"/>
      </w:pPr>
    </w:p>
    <w:p w14:paraId="05AF1096" w14:textId="77777777" w:rsidR="00812D16" w:rsidRDefault="00D5445B" w:rsidP="00204AAB">
      <w:pPr>
        <w:pStyle w:val="Normln1"/>
        <w:spacing w:line="240" w:lineRule="auto"/>
        <w:rPr>
          <w:u w:val="single"/>
        </w:rPr>
      </w:pPr>
      <w:r>
        <w:rPr>
          <w:u w:val="single"/>
        </w:rPr>
        <w:t>Obsah sodíku</w:t>
      </w:r>
    </w:p>
    <w:p w14:paraId="281BF7AD" w14:textId="77777777" w:rsidR="00D5445B" w:rsidRPr="00D5445B" w:rsidRDefault="00D5445B" w:rsidP="00D5445B">
      <w:pPr>
        <w:pStyle w:val="Normln1"/>
        <w:tabs>
          <w:tab w:val="clear" w:pos="567"/>
        </w:tabs>
        <w:spacing w:line="240" w:lineRule="auto"/>
        <w:rPr>
          <w:noProof/>
        </w:rPr>
      </w:pPr>
      <w:r w:rsidRPr="00D5445B">
        <w:rPr>
          <w:noProof/>
        </w:rPr>
        <w:t>Tento léčivý přípravek obsahuje méně než 1 mmol (23 mg) sodíku v</w:t>
      </w:r>
      <w:r>
        <w:rPr>
          <w:noProof/>
        </w:rPr>
        <w:t> jedné injekční lahvičce s obsahem 125 jednotek</w:t>
      </w:r>
      <w:r w:rsidRPr="00D5445B">
        <w:rPr>
          <w:noProof/>
        </w:rPr>
        <w:t>, to znamená, že je v podstatě „bez sodíku“.</w:t>
      </w:r>
    </w:p>
    <w:p w14:paraId="53F96FA1" w14:textId="77777777" w:rsidR="00D5445B" w:rsidRPr="00D5445B" w:rsidRDefault="00D5445B" w:rsidP="00204AAB">
      <w:pPr>
        <w:pStyle w:val="Normln1"/>
        <w:spacing w:line="240" w:lineRule="auto"/>
        <w:rPr>
          <w:i/>
          <w:noProof/>
          <w:szCs w:val="22"/>
        </w:rPr>
      </w:pPr>
    </w:p>
    <w:p w14:paraId="233C4DC7" w14:textId="77777777" w:rsidR="00812D16" w:rsidRPr="008225EB" w:rsidRDefault="001E3814" w:rsidP="00AD7832">
      <w:pPr>
        <w:pStyle w:val="Normln1"/>
        <w:keepNext/>
        <w:numPr>
          <w:ilvl w:val="1"/>
          <w:numId w:val="1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lastRenderedPageBreak/>
        <w:t>Interakce s jinými léčivými přípravky a jiné formy interakce</w:t>
      </w:r>
    </w:p>
    <w:p w14:paraId="5B80A069" w14:textId="77777777" w:rsidR="00812D16" w:rsidRPr="00A3136F" w:rsidRDefault="00812D16" w:rsidP="0056212D">
      <w:pPr>
        <w:pStyle w:val="Normln1"/>
        <w:keepNext/>
        <w:spacing w:line="240" w:lineRule="auto"/>
        <w:rPr>
          <w:noProof/>
          <w:szCs w:val="22"/>
        </w:rPr>
      </w:pPr>
    </w:p>
    <w:p w14:paraId="7096C32B" w14:textId="5AFA58D0" w:rsidR="00D5445B" w:rsidRDefault="00D5445B" w:rsidP="00D5445B">
      <w:pPr>
        <w:pStyle w:val="Normln1"/>
      </w:pPr>
      <w:r>
        <w:t xml:space="preserve">Souběžná léčba přípravkem </w:t>
      </w:r>
      <w:proofErr w:type="spellStart"/>
      <w:r>
        <w:t>Alluzience</w:t>
      </w:r>
      <w:proofErr w:type="spellEnd"/>
      <w:r>
        <w:t xml:space="preserve"> a aminoglykosidy nebo jinými látkami interferujícími s neuromuskulárním přenosem (např. látky podobné kurare) má být podávána s opatrností, protože účinek botulotoxinu může být </w:t>
      </w:r>
      <w:r w:rsidR="003138FE">
        <w:t>potencován</w:t>
      </w:r>
      <w:r>
        <w:t>.</w:t>
      </w:r>
    </w:p>
    <w:p w14:paraId="62CA3F75" w14:textId="77777777" w:rsidR="00D5445B" w:rsidRDefault="00D5445B" w:rsidP="00204AAB">
      <w:pPr>
        <w:pStyle w:val="Normln1"/>
        <w:spacing w:line="240" w:lineRule="auto"/>
      </w:pPr>
    </w:p>
    <w:p w14:paraId="03F148A5" w14:textId="77777777" w:rsidR="00812D16" w:rsidRPr="000643D3" w:rsidRDefault="001E3814" w:rsidP="00204AAB">
      <w:pPr>
        <w:pStyle w:val="Normln1"/>
        <w:spacing w:line="240" w:lineRule="auto"/>
        <w:rPr>
          <w:noProof/>
          <w:szCs w:val="22"/>
        </w:rPr>
      </w:pPr>
      <w:r>
        <w:t>Nebyly provedeny žádné studie interakcí.</w:t>
      </w:r>
    </w:p>
    <w:p w14:paraId="5A7C8CF3" w14:textId="77777777" w:rsidR="008D6BE8" w:rsidRPr="00412450" w:rsidRDefault="008D6BE8" w:rsidP="00204AAB">
      <w:pPr>
        <w:pStyle w:val="Normln1"/>
        <w:spacing w:line="240" w:lineRule="auto"/>
        <w:rPr>
          <w:noProof/>
          <w:szCs w:val="22"/>
        </w:rPr>
      </w:pPr>
    </w:p>
    <w:p w14:paraId="77382A27" w14:textId="77777777" w:rsidR="00812D16" w:rsidRPr="00157895" w:rsidRDefault="001E3814" w:rsidP="00AD7832">
      <w:pPr>
        <w:pStyle w:val="Normln1"/>
        <w:keepNext/>
        <w:numPr>
          <w:ilvl w:val="1"/>
          <w:numId w:val="1"/>
        </w:numPr>
        <w:spacing w:line="240" w:lineRule="auto"/>
        <w:outlineLvl w:val="0"/>
        <w:rPr>
          <w:noProof/>
          <w:szCs w:val="22"/>
        </w:rPr>
      </w:pPr>
      <w:r>
        <w:rPr>
          <w:b/>
        </w:rPr>
        <w:t>Fertilita, těhotenství a kojení</w:t>
      </w:r>
    </w:p>
    <w:p w14:paraId="40B61F3E" w14:textId="77777777" w:rsidR="00812D16" w:rsidRPr="006B4557" w:rsidRDefault="00812D16" w:rsidP="0056212D">
      <w:pPr>
        <w:pStyle w:val="Normln1"/>
        <w:keepNext/>
        <w:spacing w:line="240" w:lineRule="auto"/>
        <w:rPr>
          <w:noProof/>
          <w:szCs w:val="22"/>
        </w:rPr>
      </w:pPr>
    </w:p>
    <w:p w14:paraId="25D957C8" w14:textId="77777777" w:rsidR="00812D16" w:rsidRDefault="001E3814" w:rsidP="00204AAB">
      <w:pPr>
        <w:pStyle w:val="Normln1"/>
        <w:spacing w:line="240" w:lineRule="auto"/>
        <w:rPr>
          <w:u w:val="single"/>
        </w:rPr>
      </w:pPr>
      <w:r w:rsidRPr="00F002E3">
        <w:rPr>
          <w:u w:val="single"/>
        </w:rPr>
        <w:t>Těhotenství</w:t>
      </w:r>
    </w:p>
    <w:p w14:paraId="1E09475C" w14:textId="77777777" w:rsidR="00D5445B" w:rsidRPr="00D5445B" w:rsidRDefault="00D5445B" w:rsidP="00204AAB">
      <w:pPr>
        <w:pStyle w:val="Normln1"/>
        <w:spacing w:line="240" w:lineRule="auto"/>
        <w:rPr>
          <w:lang w:val="pt-PT"/>
        </w:rPr>
      </w:pPr>
      <w:r w:rsidRPr="00D5445B">
        <w:t xml:space="preserve">Údaje o podávání </w:t>
      </w:r>
      <w:r w:rsidRPr="004F4618">
        <w:t>botulotoxinu typu A</w:t>
      </w:r>
      <w:r w:rsidRPr="00D5445B">
        <w:t xml:space="preserve"> těhotným ženám jsou omezené.</w:t>
      </w:r>
      <w:r>
        <w:t xml:space="preserve"> </w:t>
      </w:r>
      <w:r w:rsidRPr="00D5445B">
        <w:t>Studie reprodukční toxicity na zvířatech nenaznačují přímé nebo nepřímé škodlivé účinky (viz bod 5.3).</w:t>
      </w:r>
      <w:r>
        <w:t xml:space="preserve"> </w:t>
      </w:r>
      <w:r w:rsidRPr="00D5445B">
        <w:t>Podávání přípravku</w:t>
      </w:r>
      <w:r>
        <w:t xml:space="preserve"> </w:t>
      </w:r>
      <w:proofErr w:type="spellStart"/>
      <w:r>
        <w:t>Alluzience</w:t>
      </w:r>
      <w:proofErr w:type="spellEnd"/>
      <w:r w:rsidRPr="00D5445B">
        <w:t xml:space="preserve"> v těhotenství se z preventivních důvodů nedoporučuje.</w:t>
      </w:r>
    </w:p>
    <w:p w14:paraId="650354A2" w14:textId="77777777" w:rsidR="00D5445B" w:rsidRPr="00D5445B" w:rsidRDefault="00D5445B" w:rsidP="00204AAB">
      <w:pPr>
        <w:pStyle w:val="Normln1"/>
        <w:spacing w:line="240" w:lineRule="auto"/>
        <w:rPr>
          <w:noProof/>
          <w:szCs w:val="22"/>
        </w:rPr>
      </w:pPr>
    </w:p>
    <w:p w14:paraId="4BD2BE3E" w14:textId="77777777" w:rsidR="00812D16" w:rsidRDefault="001E3814" w:rsidP="00204AAB">
      <w:pPr>
        <w:pStyle w:val="Normln1"/>
        <w:spacing w:line="240" w:lineRule="auto"/>
        <w:rPr>
          <w:u w:val="single"/>
        </w:rPr>
      </w:pPr>
      <w:r w:rsidRPr="00F002E3">
        <w:rPr>
          <w:u w:val="single"/>
        </w:rPr>
        <w:t>Kojení</w:t>
      </w:r>
    </w:p>
    <w:p w14:paraId="6ED91FDF" w14:textId="56C59BD6" w:rsidR="00D5445B" w:rsidRPr="00D5445B" w:rsidRDefault="00A61B66" w:rsidP="00204AAB">
      <w:pPr>
        <w:pStyle w:val="Normln1"/>
        <w:spacing w:line="240" w:lineRule="auto"/>
      </w:pPr>
      <w:r w:rsidRPr="00A61B66">
        <w:t xml:space="preserve">Není známo, zda se </w:t>
      </w:r>
      <w:r>
        <w:t xml:space="preserve">přípravek </w:t>
      </w:r>
      <w:proofErr w:type="spellStart"/>
      <w:r>
        <w:t>Alluzience</w:t>
      </w:r>
      <w:proofErr w:type="spellEnd"/>
      <w:r>
        <w:t xml:space="preserve"> </w:t>
      </w:r>
      <w:r w:rsidRPr="00A61B66">
        <w:t>vylučuj</w:t>
      </w:r>
      <w:r>
        <w:t>e</w:t>
      </w:r>
      <w:r w:rsidRPr="00A61B66">
        <w:t xml:space="preserve"> do lidského mateřského mléka</w:t>
      </w:r>
      <w:r>
        <w:t xml:space="preserve">. </w:t>
      </w:r>
      <w:r>
        <w:rPr>
          <w:noProof/>
          <w:lang w:val="pt-PT"/>
        </w:rPr>
        <w:t>Přípravek Alluzience</w:t>
      </w:r>
      <w:r w:rsidRPr="00A61B66">
        <w:rPr>
          <w:noProof/>
          <w:lang w:val="pt-PT"/>
        </w:rPr>
        <w:t xml:space="preserve"> se během kojení nemá </w:t>
      </w:r>
      <w:r>
        <w:rPr>
          <w:noProof/>
          <w:lang w:val="pt-PT"/>
        </w:rPr>
        <w:t>používat</w:t>
      </w:r>
      <w:r w:rsidRPr="00A61B66">
        <w:rPr>
          <w:noProof/>
          <w:lang w:val="pt-PT"/>
        </w:rPr>
        <w:t>.</w:t>
      </w:r>
    </w:p>
    <w:p w14:paraId="1AA89591" w14:textId="77777777" w:rsidR="00D5445B" w:rsidRPr="00D5445B" w:rsidRDefault="00D5445B" w:rsidP="00204AAB">
      <w:pPr>
        <w:pStyle w:val="Normln1"/>
        <w:spacing w:line="240" w:lineRule="auto"/>
        <w:rPr>
          <w:noProof/>
          <w:szCs w:val="22"/>
        </w:rPr>
      </w:pPr>
    </w:p>
    <w:p w14:paraId="507E905A" w14:textId="77777777" w:rsidR="00812D16" w:rsidRPr="00F002E3" w:rsidRDefault="001E3814" w:rsidP="00204AAB">
      <w:pPr>
        <w:pStyle w:val="Normln1"/>
        <w:spacing w:line="240" w:lineRule="auto"/>
        <w:rPr>
          <w:noProof/>
          <w:szCs w:val="22"/>
          <w:u w:val="single"/>
        </w:rPr>
      </w:pPr>
      <w:r w:rsidRPr="00F002E3">
        <w:rPr>
          <w:u w:val="single"/>
        </w:rPr>
        <w:t>Fertilita</w:t>
      </w:r>
    </w:p>
    <w:p w14:paraId="22749AC6" w14:textId="77777777" w:rsidR="00812D16" w:rsidRDefault="00A61B66" w:rsidP="00204AAB">
      <w:pPr>
        <w:pStyle w:val="Normln1"/>
        <w:spacing w:line="240" w:lineRule="auto"/>
        <w:rPr>
          <w:noProof/>
          <w:szCs w:val="22"/>
        </w:rPr>
      </w:pPr>
      <w:r w:rsidRPr="00A61B66">
        <w:rPr>
          <w:noProof/>
          <w:szCs w:val="22"/>
        </w:rPr>
        <w:t xml:space="preserve">Neexistují žádné klinické údaje zkoumající účinek Alluzience na plodnost. Ve studiích na zvířatech neexistují důkazy o přímém účinku </w:t>
      </w:r>
      <w:r>
        <w:rPr>
          <w:noProof/>
          <w:szCs w:val="22"/>
        </w:rPr>
        <w:t xml:space="preserve">přípravku </w:t>
      </w:r>
      <w:r w:rsidRPr="00A61B66">
        <w:rPr>
          <w:noProof/>
          <w:szCs w:val="22"/>
        </w:rPr>
        <w:t>Alluzience na plodnost (viz bod 5.3).</w:t>
      </w:r>
    </w:p>
    <w:p w14:paraId="6E625BBE" w14:textId="77777777" w:rsidR="00A61B66" w:rsidRPr="00A61B66" w:rsidRDefault="00A61B66" w:rsidP="00204AAB">
      <w:pPr>
        <w:pStyle w:val="Normln1"/>
        <w:spacing w:line="240" w:lineRule="auto"/>
        <w:rPr>
          <w:noProof/>
          <w:szCs w:val="22"/>
        </w:rPr>
      </w:pPr>
    </w:p>
    <w:p w14:paraId="4E66829B" w14:textId="77777777" w:rsidR="00812D16" w:rsidRPr="008225EB" w:rsidRDefault="001E3814" w:rsidP="00AD7832">
      <w:pPr>
        <w:pStyle w:val="Normln1"/>
        <w:keepNext/>
        <w:numPr>
          <w:ilvl w:val="1"/>
          <w:numId w:val="1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Účinky na schopnost řídit a obsluhovat stroje</w:t>
      </w:r>
    </w:p>
    <w:p w14:paraId="4DAD5471" w14:textId="77777777" w:rsidR="00812D16" w:rsidRPr="00A3136F" w:rsidRDefault="00812D16" w:rsidP="0056212D">
      <w:pPr>
        <w:pStyle w:val="Normln1"/>
        <w:keepNext/>
        <w:spacing w:line="240" w:lineRule="auto"/>
        <w:rPr>
          <w:noProof/>
          <w:szCs w:val="22"/>
        </w:rPr>
      </w:pPr>
    </w:p>
    <w:p w14:paraId="0D8D4E9E" w14:textId="77777777" w:rsidR="00812D16" w:rsidRPr="00412450" w:rsidRDefault="00A61B66" w:rsidP="00204AAB">
      <w:pPr>
        <w:pStyle w:val="Normln1"/>
        <w:spacing w:line="240" w:lineRule="auto"/>
        <w:rPr>
          <w:noProof/>
          <w:szCs w:val="22"/>
        </w:rPr>
      </w:pPr>
      <w:r>
        <w:t xml:space="preserve">Přípravek </w:t>
      </w:r>
      <w:proofErr w:type="spellStart"/>
      <w:r>
        <w:t>Alluzience</w:t>
      </w:r>
      <w:proofErr w:type="spellEnd"/>
      <w:r w:rsidR="001E3814">
        <w:t xml:space="preserve"> má mírný </w:t>
      </w:r>
      <w:r>
        <w:t>nebo střední</w:t>
      </w:r>
      <w:r w:rsidR="001E3814">
        <w:t xml:space="preserve"> vliv na schopnost řídit nebo obsluhovat stroje. </w:t>
      </w:r>
      <w:r w:rsidRPr="00A61B66">
        <w:t xml:space="preserve">Existuje potenciální riziko vzniku místní svalové slabosti nebo poruch zraku spojených s použitím tohoto </w:t>
      </w:r>
      <w:r>
        <w:t xml:space="preserve">léčivého </w:t>
      </w:r>
      <w:r w:rsidRPr="00A61B66">
        <w:t>přípravku, jež může dočasně narušit schopnost řídit a obsluhovat stroje.</w:t>
      </w:r>
    </w:p>
    <w:p w14:paraId="010DB588" w14:textId="77777777" w:rsidR="00B64B2F" w:rsidRPr="006B4557" w:rsidRDefault="00B64B2F" w:rsidP="00204AAB">
      <w:pPr>
        <w:pStyle w:val="Normln1"/>
        <w:spacing w:line="240" w:lineRule="auto"/>
        <w:rPr>
          <w:noProof/>
          <w:szCs w:val="22"/>
        </w:rPr>
      </w:pPr>
    </w:p>
    <w:p w14:paraId="05F9C361" w14:textId="77777777" w:rsidR="00812D16" w:rsidRPr="00067B16" w:rsidRDefault="001E3814" w:rsidP="00AD7832">
      <w:pPr>
        <w:pStyle w:val="Normln1"/>
        <w:keepNext/>
        <w:numPr>
          <w:ilvl w:val="1"/>
          <w:numId w:val="1"/>
        </w:numPr>
        <w:spacing w:line="240" w:lineRule="auto"/>
        <w:outlineLvl w:val="0"/>
        <w:rPr>
          <w:b/>
          <w:noProof/>
          <w:szCs w:val="22"/>
        </w:rPr>
      </w:pPr>
      <w:r>
        <w:rPr>
          <w:b/>
          <w:noProof/>
        </w:rPr>
        <w:t>Nežádoucí účinky</w:t>
      </w:r>
    </w:p>
    <w:p w14:paraId="59C910B8" w14:textId="77777777" w:rsidR="00812D16" w:rsidRDefault="00812D16" w:rsidP="0056212D">
      <w:pPr>
        <w:pStyle w:val="Normln1"/>
        <w:keepNext/>
        <w:autoSpaceDE w:val="0"/>
        <w:autoSpaceDN w:val="0"/>
        <w:adjustRightInd w:val="0"/>
        <w:spacing w:line="240" w:lineRule="auto"/>
        <w:jc w:val="both"/>
        <w:rPr>
          <w:noProof/>
          <w:szCs w:val="22"/>
        </w:rPr>
      </w:pPr>
    </w:p>
    <w:p w14:paraId="119335D3" w14:textId="77777777" w:rsidR="00C949A7" w:rsidRPr="00C949A7" w:rsidRDefault="00C949A7" w:rsidP="0056212D">
      <w:pPr>
        <w:pStyle w:val="Normln1"/>
        <w:keepNext/>
        <w:autoSpaceDE w:val="0"/>
        <w:autoSpaceDN w:val="0"/>
        <w:adjustRightInd w:val="0"/>
        <w:spacing w:line="240" w:lineRule="auto"/>
        <w:jc w:val="both"/>
        <w:rPr>
          <w:noProof/>
          <w:szCs w:val="22"/>
          <w:u w:val="single"/>
        </w:rPr>
      </w:pPr>
      <w:r w:rsidRPr="007D6CB8">
        <w:rPr>
          <w:noProof/>
          <w:szCs w:val="22"/>
          <w:u w:val="single"/>
        </w:rPr>
        <w:t>Souhrn</w:t>
      </w:r>
      <w:r w:rsidRPr="00C949A7">
        <w:rPr>
          <w:noProof/>
          <w:szCs w:val="22"/>
          <w:u w:val="single"/>
        </w:rPr>
        <w:t xml:space="preserve"> bezpečnostního profilu</w:t>
      </w:r>
    </w:p>
    <w:p w14:paraId="5784A51C" w14:textId="77777777" w:rsidR="00C949A7" w:rsidRDefault="00C949A7" w:rsidP="0056212D">
      <w:pPr>
        <w:pStyle w:val="Normln1"/>
        <w:keepNext/>
        <w:autoSpaceDE w:val="0"/>
        <w:autoSpaceDN w:val="0"/>
        <w:adjustRightInd w:val="0"/>
        <w:spacing w:line="240" w:lineRule="auto"/>
        <w:jc w:val="both"/>
        <w:rPr>
          <w:noProof/>
          <w:szCs w:val="22"/>
        </w:rPr>
      </w:pPr>
      <w:r w:rsidRPr="00C949A7">
        <w:rPr>
          <w:noProof/>
          <w:szCs w:val="22"/>
        </w:rPr>
        <w:t xml:space="preserve">Většina </w:t>
      </w:r>
      <w:r>
        <w:rPr>
          <w:noProof/>
          <w:szCs w:val="22"/>
        </w:rPr>
        <w:t xml:space="preserve">nežádoucích účinků hlášených z klinických studií s přípravkem Alluzience </w:t>
      </w:r>
      <w:r w:rsidRPr="00C949A7">
        <w:rPr>
          <w:noProof/>
          <w:szCs w:val="22"/>
        </w:rPr>
        <w:t xml:space="preserve">byla mírné až střední </w:t>
      </w:r>
      <w:r>
        <w:rPr>
          <w:noProof/>
          <w:szCs w:val="22"/>
        </w:rPr>
        <w:t>intenzity</w:t>
      </w:r>
      <w:r w:rsidRPr="00C949A7">
        <w:rPr>
          <w:noProof/>
          <w:szCs w:val="22"/>
        </w:rPr>
        <w:t xml:space="preserve"> a reverzibilní.</w:t>
      </w:r>
      <w:r>
        <w:rPr>
          <w:noProof/>
          <w:szCs w:val="22"/>
        </w:rPr>
        <w:t xml:space="preserve"> </w:t>
      </w:r>
      <w:r w:rsidRPr="008D2E7E">
        <w:t xml:space="preserve">Nejčastěji </w:t>
      </w:r>
      <w:r>
        <w:t>hlášeným nežádoucím účinkem</w:t>
      </w:r>
      <w:r w:rsidRPr="008D2E7E">
        <w:t xml:space="preserve"> </w:t>
      </w:r>
      <w:r>
        <w:t>byla</w:t>
      </w:r>
      <w:r w:rsidRPr="008D2E7E">
        <w:t xml:space="preserve"> bolest hlavy a reakce v</w:t>
      </w:r>
      <w:r>
        <w:t> </w:t>
      </w:r>
      <w:r w:rsidRPr="008D2E7E">
        <w:t xml:space="preserve">místě </w:t>
      </w:r>
      <w:r>
        <w:t>injekce</w:t>
      </w:r>
      <w:r w:rsidRPr="008D2E7E">
        <w:t>.</w:t>
      </w:r>
      <w:r>
        <w:t xml:space="preserve"> </w:t>
      </w:r>
      <w:r w:rsidRPr="00C949A7">
        <w:t xml:space="preserve">Incidence </w:t>
      </w:r>
      <w:r>
        <w:t>nežádoucích účinků</w:t>
      </w:r>
      <w:r w:rsidRPr="00C949A7">
        <w:t xml:space="preserve"> </w:t>
      </w:r>
      <w:r>
        <w:t xml:space="preserve">měla při opakované léčbě </w:t>
      </w:r>
      <w:r w:rsidRPr="00C949A7">
        <w:t>klesa</w:t>
      </w:r>
      <w:r>
        <w:t>jící tendenci</w:t>
      </w:r>
      <w:r w:rsidRPr="00C949A7">
        <w:t>.</w:t>
      </w:r>
    </w:p>
    <w:p w14:paraId="16BF0BA0" w14:textId="77777777" w:rsidR="00C949A7" w:rsidRDefault="00C949A7" w:rsidP="0056212D">
      <w:pPr>
        <w:pStyle w:val="Normln1"/>
        <w:keepNext/>
        <w:autoSpaceDE w:val="0"/>
        <w:autoSpaceDN w:val="0"/>
        <w:adjustRightInd w:val="0"/>
        <w:spacing w:line="240" w:lineRule="auto"/>
        <w:jc w:val="both"/>
        <w:rPr>
          <w:noProof/>
          <w:szCs w:val="22"/>
        </w:rPr>
      </w:pPr>
    </w:p>
    <w:p w14:paraId="3A2DB48B" w14:textId="77777777" w:rsidR="00C949A7" w:rsidRDefault="00C949A7" w:rsidP="0056212D">
      <w:pPr>
        <w:pStyle w:val="Normln1"/>
        <w:keepNext/>
        <w:autoSpaceDE w:val="0"/>
        <w:autoSpaceDN w:val="0"/>
        <w:adjustRightInd w:val="0"/>
        <w:spacing w:line="240" w:lineRule="auto"/>
        <w:jc w:val="both"/>
        <w:rPr>
          <w:noProof/>
          <w:szCs w:val="22"/>
        </w:rPr>
      </w:pPr>
      <w:r>
        <w:rPr>
          <w:noProof/>
          <w:szCs w:val="22"/>
        </w:rPr>
        <w:t>Velmi vzácně byly u botulotoxinu hlášeny n</w:t>
      </w:r>
      <w:r w:rsidRPr="00C949A7">
        <w:rPr>
          <w:noProof/>
          <w:szCs w:val="22"/>
        </w:rPr>
        <w:t xml:space="preserve">ežádoucí reakce související s šířením </w:t>
      </w:r>
      <w:r>
        <w:rPr>
          <w:noProof/>
          <w:szCs w:val="22"/>
        </w:rPr>
        <w:t xml:space="preserve">účinku </w:t>
      </w:r>
      <w:r w:rsidRPr="00C949A7">
        <w:rPr>
          <w:noProof/>
          <w:szCs w:val="22"/>
        </w:rPr>
        <w:t xml:space="preserve">toxinu do míst vzdálených od místa podání </w:t>
      </w:r>
      <w:r>
        <w:rPr>
          <w:noProof/>
          <w:szCs w:val="22"/>
        </w:rPr>
        <w:t>(</w:t>
      </w:r>
      <w:r w:rsidRPr="00C949A7">
        <w:rPr>
          <w:noProof/>
          <w:szCs w:val="22"/>
        </w:rPr>
        <w:t>zvýšen</w:t>
      </w:r>
      <w:r>
        <w:rPr>
          <w:noProof/>
          <w:szCs w:val="22"/>
        </w:rPr>
        <w:t>á</w:t>
      </w:r>
      <w:r w:rsidRPr="00C949A7">
        <w:rPr>
          <w:noProof/>
          <w:szCs w:val="22"/>
        </w:rPr>
        <w:t xml:space="preserve"> svalov</w:t>
      </w:r>
      <w:r>
        <w:rPr>
          <w:noProof/>
          <w:szCs w:val="22"/>
        </w:rPr>
        <w:t>á</w:t>
      </w:r>
      <w:r w:rsidRPr="00C949A7">
        <w:rPr>
          <w:noProof/>
          <w:szCs w:val="22"/>
        </w:rPr>
        <w:t xml:space="preserve"> slabost</w:t>
      </w:r>
      <w:r>
        <w:rPr>
          <w:noProof/>
          <w:szCs w:val="22"/>
        </w:rPr>
        <w:t>, dysfagie, aspirační pneumonie, v některých případech fatální) (viz bod 4.4)</w:t>
      </w:r>
      <w:r w:rsidRPr="00C949A7">
        <w:rPr>
          <w:noProof/>
          <w:szCs w:val="22"/>
        </w:rPr>
        <w:t>.</w:t>
      </w:r>
    </w:p>
    <w:p w14:paraId="067413EA" w14:textId="77777777" w:rsidR="00C949A7" w:rsidRDefault="00C949A7" w:rsidP="0056212D">
      <w:pPr>
        <w:pStyle w:val="Normln1"/>
        <w:keepNext/>
        <w:autoSpaceDE w:val="0"/>
        <w:autoSpaceDN w:val="0"/>
        <w:adjustRightInd w:val="0"/>
        <w:spacing w:line="240" w:lineRule="auto"/>
        <w:jc w:val="both"/>
        <w:rPr>
          <w:noProof/>
          <w:szCs w:val="22"/>
        </w:rPr>
      </w:pPr>
    </w:p>
    <w:p w14:paraId="2E2C9C33" w14:textId="512E0F02" w:rsidR="008678FB" w:rsidRDefault="008678FB" w:rsidP="0056212D">
      <w:pPr>
        <w:pStyle w:val="Normln1"/>
        <w:keepNext/>
        <w:autoSpaceDE w:val="0"/>
        <w:autoSpaceDN w:val="0"/>
        <w:adjustRightInd w:val="0"/>
        <w:spacing w:line="240" w:lineRule="auto"/>
        <w:jc w:val="both"/>
        <w:rPr>
          <w:noProof/>
          <w:szCs w:val="22"/>
        </w:rPr>
      </w:pPr>
      <w:r>
        <w:rPr>
          <w:noProof/>
          <w:szCs w:val="22"/>
        </w:rPr>
        <w:t>N</w:t>
      </w:r>
      <w:r w:rsidRPr="008678FB">
        <w:rPr>
          <w:noProof/>
          <w:szCs w:val="22"/>
        </w:rPr>
        <w:t>ežádoucí účinky z</w:t>
      </w:r>
      <w:r w:rsidR="003138FE">
        <w:rPr>
          <w:noProof/>
          <w:szCs w:val="22"/>
        </w:rPr>
        <w:t> </w:t>
      </w:r>
      <w:r>
        <w:rPr>
          <w:noProof/>
          <w:szCs w:val="22"/>
        </w:rPr>
        <w:t>pivotních</w:t>
      </w:r>
      <w:r w:rsidR="003138FE">
        <w:rPr>
          <w:noProof/>
          <w:szCs w:val="22"/>
        </w:rPr>
        <w:t>,</w:t>
      </w:r>
      <w:r w:rsidRPr="008678FB">
        <w:rPr>
          <w:noProof/>
          <w:szCs w:val="22"/>
        </w:rPr>
        <w:t xml:space="preserve"> placebem kontrolovaných klinických studií s přípravkem Alluzience</w:t>
      </w:r>
      <w:r w:rsidR="003138FE">
        <w:rPr>
          <w:noProof/>
          <w:szCs w:val="22"/>
        </w:rPr>
        <w:t>,</w:t>
      </w:r>
      <w:r w:rsidRPr="008678FB">
        <w:rPr>
          <w:noProof/>
          <w:szCs w:val="22"/>
        </w:rPr>
        <w:t xml:space="preserve"> a také z </w:t>
      </w:r>
      <w:r>
        <w:rPr>
          <w:noProof/>
          <w:szCs w:val="22"/>
        </w:rPr>
        <w:t>pivotních</w:t>
      </w:r>
      <w:r w:rsidRPr="008678FB">
        <w:rPr>
          <w:noProof/>
          <w:szCs w:val="22"/>
        </w:rPr>
        <w:t xml:space="preserve"> placebem kontrolovaných </w:t>
      </w:r>
      <w:r w:rsidR="00E741BF">
        <w:rPr>
          <w:noProof/>
          <w:szCs w:val="22"/>
        </w:rPr>
        <w:t xml:space="preserve">klinických </w:t>
      </w:r>
      <w:r w:rsidRPr="008678FB">
        <w:rPr>
          <w:noProof/>
          <w:szCs w:val="22"/>
        </w:rPr>
        <w:t>studií s</w:t>
      </w:r>
      <w:r>
        <w:rPr>
          <w:noProof/>
          <w:szCs w:val="22"/>
        </w:rPr>
        <w:t xml:space="preserve"> přípravkem se stejnou účinnou látkou ve formě </w:t>
      </w:r>
      <w:r w:rsidRPr="008678FB">
        <w:rPr>
          <w:noProof/>
          <w:szCs w:val="22"/>
        </w:rPr>
        <w:t xml:space="preserve">prášku </w:t>
      </w:r>
      <w:r>
        <w:rPr>
          <w:noProof/>
          <w:szCs w:val="22"/>
        </w:rPr>
        <w:t xml:space="preserve">jsou </w:t>
      </w:r>
      <w:r w:rsidRPr="008678FB">
        <w:rPr>
          <w:noProof/>
          <w:szCs w:val="22"/>
        </w:rPr>
        <w:t xml:space="preserve">prezentovány </w:t>
      </w:r>
      <w:r>
        <w:rPr>
          <w:noProof/>
          <w:szCs w:val="22"/>
        </w:rPr>
        <w:t xml:space="preserve">níže </w:t>
      </w:r>
      <w:r w:rsidRPr="008678FB">
        <w:rPr>
          <w:noProof/>
          <w:szCs w:val="22"/>
        </w:rPr>
        <w:t xml:space="preserve">a jsou uspořádány podle tříd orgánových systémů (SOC) pro každý preferovaný termín </w:t>
      </w:r>
      <w:r w:rsidRPr="007D6CB8">
        <w:rPr>
          <w:noProof/>
          <w:szCs w:val="22"/>
        </w:rPr>
        <w:t>v systému MedDRA</w:t>
      </w:r>
      <w:r w:rsidRPr="008678FB">
        <w:rPr>
          <w:noProof/>
          <w:szCs w:val="22"/>
        </w:rPr>
        <w:t xml:space="preserve"> </w:t>
      </w:r>
      <w:r>
        <w:rPr>
          <w:noProof/>
          <w:szCs w:val="22"/>
        </w:rPr>
        <w:t>(tabulka</w:t>
      </w:r>
      <w:r w:rsidRPr="008678FB">
        <w:rPr>
          <w:noProof/>
          <w:szCs w:val="22"/>
        </w:rPr>
        <w:t xml:space="preserve"> 1).</w:t>
      </w:r>
    </w:p>
    <w:p w14:paraId="0071201B" w14:textId="77777777" w:rsidR="008678FB" w:rsidRDefault="008678FB" w:rsidP="0056212D">
      <w:pPr>
        <w:pStyle w:val="Normln1"/>
        <w:keepNext/>
        <w:autoSpaceDE w:val="0"/>
        <w:autoSpaceDN w:val="0"/>
        <w:adjustRightInd w:val="0"/>
        <w:spacing w:line="240" w:lineRule="auto"/>
        <w:jc w:val="both"/>
        <w:rPr>
          <w:noProof/>
          <w:szCs w:val="22"/>
        </w:rPr>
      </w:pPr>
    </w:p>
    <w:p w14:paraId="0EE95B8B" w14:textId="77777777" w:rsidR="008678FB" w:rsidRPr="008678FB" w:rsidRDefault="008678FB" w:rsidP="0056212D">
      <w:pPr>
        <w:pStyle w:val="Normln1"/>
        <w:keepNext/>
        <w:autoSpaceDE w:val="0"/>
        <w:autoSpaceDN w:val="0"/>
        <w:adjustRightInd w:val="0"/>
        <w:spacing w:line="240" w:lineRule="auto"/>
        <w:jc w:val="both"/>
        <w:rPr>
          <w:noProof/>
          <w:szCs w:val="22"/>
          <w:u w:val="single"/>
        </w:rPr>
      </w:pPr>
      <w:r w:rsidRPr="008678FB">
        <w:rPr>
          <w:noProof/>
          <w:szCs w:val="22"/>
          <w:u w:val="single"/>
        </w:rPr>
        <w:t>Tabulkový souhrn nežádoucích účinků</w:t>
      </w:r>
    </w:p>
    <w:p w14:paraId="29698BA9" w14:textId="77777777" w:rsidR="008678FB" w:rsidRPr="008678FB" w:rsidRDefault="008678FB" w:rsidP="008678FB">
      <w:pPr>
        <w:pStyle w:val="Normln1"/>
        <w:keepNext/>
        <w:autoSpaceDE w:val="0"/>
        <w:autoSpaceDN w:val="0"/>
        <w:adjustRightInd w:val="0"/>
        <w:jc w:val="both"/>
        <w:rPr>
          <w:noProof/>
          <w:szCs w:val="22"/>
        </w:rPr>
      </w:pPr>
      <w:r w:rsidRPr="008678FB">
        <w:rPr>
          <w:noProof/>
          <w:szCs w:val="22"/>
        </w:rPr>
        <w:t>Frekvence nežádoucích účinků je klasifikována následovně:</w:t>
      </w:r>
    </w:p>
    <w:p w14:paraId="511F9F28" w14:textId="77777777" w:rsidR="008678FB" w:rsidRDefault="008678FB" w:rsidP="008678FB">
      <w:pPr>
        <w:pStyle w:val="Normln1"/>
        <w:keepNext/>
        <w:autoSpaceDE w:val="0"/>
        <w:autoSpaceDN w:val="0"/>
        <w:adjustRightInd w:val="0"/>
        <w:spacing w:line="240" w:lineRule="auto"/>
        <w:jc w:val="both"/>
        <w:rPr>
          <w:noProof/>
          <w:szCs w:val="22"/>
        </w:rPr>
      </w:pPr>
      <w:r w:rsidRPr="008678FB">
        <w:rPr>
          <w:noProof/>
          <w:szCs w:val="22"/>
        </w:rPr>
        <w:t>Velmi časté (</w:t>
      </w:r>
      <w:r w:rsidRPr="008678FB">
        <w:rPr>
          <w:rFonts w:hint="eastAsia"/>
          <w:noProof/>
          <w:szCs w:val="22"/>
        </w:rPr>
        <w:t>≥</w:t>
      </w:r>
      <w:r w:rsidRPr="008678FB">
        <w:rPr>
          <w:noProof/>
          <w:szCs w:val="22"/>
        </w:rPr>
        <w:t>1/10); časté (</w:t>
      </w:r>
      <w:r w:rsidRPr="008678FB">
        <w:rPr>
          <w:rFonts w:hint="eastAsia"/>
          <w:noProof/>
          <w:szCs w:val="22"/>
        </w:rPr>
        <w:t>≥</w:t>
      </w:r>
      <w:r w:rsidRPr="008678FB">
        <w:rPr>
          <w:noProof/>
          <w:szCs w:val="22"/>
        </w:rPr>
        <w:t>1/100 až &lt; 1/10); méně časté (</w:t>
      </w:r>
      <w:r w:rsidRPr="008678FB">
        <w:rPr>
          <w:rFonts w:hint="eastAsia"/>
          <w:noProof/>
          <w:szCs w:val="22"/>
        </w:rPr>
        <w:t>≥</w:t>
      </w:r>
      <w:r w:rsidRPr="008678FB">
        <w:rPr>
          <w:noProof/>
          <w:szCs w:val="22"/>
        </w:rPr>
        <w:t>1/1 000 až &lt;1/100); vzácné (</w:t>
      </w:r>
      <w:r w:rsidRPr="008678FB">
        <w:rPr>
          <w:rFonts w:hint="eastAsia"/>
          <w:noProof/>
          <w:szCs w:val="22"/>
        </w:rPr>
        <w:t>≥</w:t>
      </w:r>
      <w:r w:rsidRPr="008678FB">
        <w:rPr>
          <w:noProof/>
          <w:szCs w:val="22"/>
        </w:rPr>
        <w:t>1/10 000 až &lt; 1/1 000); velmi vzácné (&lt; 1/10 000); není známo (z dostupných údajů nelze určit).</w:t>
      </w:r>
    </w:p>
    <w:p w14:paraId="4529B209" w14:textId="77777777" w:rsidR="008678FB" w:rsidRDefault="008678FB" w:rsidP="0056212D">
      <w:pPr>
        <w:pStyle w:val="Normln1"/>
        <w:keepNext/>
        <w:autoSpaceDE w:val="0"/>
        <w:autoSpaceDN w:val="0"/>
        <w:adjustRightInd w:val="0"/>
        <w:spacing w:line="240" w:lineRule="auto"/>
        <w:jc w:val="both"/>
        <w:rPr>
          <w:noProof/>
          <w:szCs w:val="22"/>
        </w:rPr>
      </w:pPr>
    </w:p>
    <w:p w14:paraId="6B9FE606" w14:textId="77777777" w:rsidR="008678FB" w:rsidRDefault="008678FB" w:rsidP="0056212D">
      <w:pPr>
        <w:pStyle w:val="Normln1"/>
        <w:keepNext/>
        <w:autoSpaceDE w:val="0"/>
        <w:autoSpaceDN w:val="0"/>
        <w:adjustRightInd w:val="0"/>
        <w:spacing w:line="240" w:lineRule="auto"/>
        <w:jc w:val="both"/>
        <w:rPr>
          <w:noProof/>
          <w:szCs w:val="22"/>
        </w:rPr>
      </w:pPr>
      <w:r>
        <w:rPr>
          <w:noProof/>
          <w:szCs w:val="22"/>
        </w:rPr>
        <w:t>Tabulka 1: Nežádoucí účinky pozorované v klinických studiích</w:t>
      </w:r>
    </w:p>
    <w:p w14:paraId="70485D74" w14:textId="77777777" w:rsidR="008678FB" w:rsidRDefault="008678FB" w:rsidP="0056212D">
      <w:pPr>
        <w:pStyle w:val="Normln1"/>
        <w:keepNext/>
        <w:autoSpaceDE w:val="0"/>
        <w:autoSpaceDN w:val="0"/>
        <w:adjustRightInd w:val="0"/>
        <w:spacing w:line="240" w:lineRule="auto"/>
        <w:jc w:val="both"/>
        <w:rPr>
          <w:noProof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28"/>
        <w:gridCol w:w="5338"/>
      </w:tblGrid>
      <w:tr w:rsidR="008678FB" w:rsidRPr="008678FB" w14:paraId="28FA7C01" w14:textId="77777777" w:rsidTr="00416FC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0CED" w14:textId="77777777" w:rsidR="008678FB" w:rsidRPr="008678FB" w:rsidRDefault="008678FB" w:rsidP="00416FC1">
            <w:pPr>
              <w:rPr>
                <w:sz w:val="22"/>
                <w:szCs w:val="22"/>
                <w:u w:val="single"/>
                <w:lang w:val="cs-CZ"/>
              </w:rPr>
            </w:pPr>
            <w:r w:rsidRPr="008678FB">
              <w:rPr>
                <w:sz w:val="22"/>
                <w:szCs w:val="22"/>
                <w:lang w:val="cs-CZ"/>
              </w:rPr>
              <w:t>Poruchy nervového systému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A9538" w14:textId="77777777" w:rsidR="008678FB" w:rsidRPr="008678FB" w:rsidRDefault="008678FB" w:rsidP="00416FC1">
            <w:pPr>
              <w:rPr>
                <w:sz w:val="22"/>
                <w:szCs w:val="22"/>
                <w:lang w:val="cs-CZ"/>
              </w:rPr>
            </w:pPr>
            <w:r w:rsidRPr="008678FB">
              <w:rPr>
                <w:sz w:val="22"/>
                <w:szCs w:val="22"/>
                <w:u w:val="single"/>
                <w:lang w:val="cs-CZ"/>
              </w:rPr>
              <w:t>Velmi časté</w:t>
            </w:r>
          </w:p>
          <w:p w14:paraId="245B7D3B" w14:textId="77777777" w:rsidR="008678FB" w:rsidRPr="008678FB" w:rsidRDefault="008678FB" w:rsidP="00416FC1">
            <w:pPr>
              <w:rPr>
                <w:sz w:val="22"/>
                <w:szCs w:val="22"/>
                <w:lang w:val="cs-CZ"/>
              </w:rPr>
            </w:pPr>
            <w:r w:rsidRPr="008678FB">
              <w:rPr>
                <w:sz w:val="22"/>
                <w:szCs w:val="22"/>
                <w:lang w:val="cs-CZ"/>
              </w:rPr>
              <w:t>Bolest hlavy</w:t>
            </w:r>
          </w:p>
          <w:p w14:paraId="64E00BE2" w14:textId="77777777" w:rsidR="008678FB" w:rsidRPr="008678FB" w:rsidRDefault="008678FB" w:rsidP="00416FC1">
            <w:pPr>
              <w:rPr>
                <w:sz w:val="22"/>
                <w:szCs w:val="22"/>
                <w:lang w:val="cs-CZ"/>
              </w:rPr>
            </w:pPr>
            <w:r w:rsidRPr="008678FB">
              <w:rPr>
                <w:sz w:val="22"/>
                <w:szCs w:val="22"/>
                <w:u w:val="single"/>
                <w:lang w:val="cs-CZ"/>
              </w:rPr>
              <w:t>Časté</w:t>
            </w:r>
          </w:p>
          <w:p w14:paraId="0234D9F0" w14:textId="77777777" w:rsidR="008678FB" w:rsidRPr="008678FB" w:rsidRDefault="008678FB" w:rsidP="00416FC1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lastRenderedPageBreak/>
              <w:t>Paréza obličeje</w:t>
            </w:r>
            <w:r w:rsidRPr="00D848D5">
              <w:rPr>
                <w:sz w:val="22"/>
                <w:szCs w:val="22"/>
                <w:lang w:val="fr-FR"/>
              </w:rPr>
              <w:t>*</w:t>
            </w:r>
          </w:p>
          <w:p w14:paraId="409970D4" w14:textId="77777777" w:rsidR="008678FB" w:rsidRPr="008678FB" w:rsidRDefault="008678FB" w:rsidP="00416FC1">
            <w:pPr>
              <w:rPr>
                <w:sz w:val="22"/>
                <w:szCs w:val="22"/>
                <w:lang w:val="cs-CZ"/>
              </w:rPr>
            </w:pPr>
            <w:r w:rsidRPr="008678FB">
              <w:rPr>
                <w:sz w:val="22"/>
                <w:szCs w:val="22"/>
                <w:u w:val="single"/>
                <w:lang w:val="cs-CZ"/>
              </w:rPr>
              <w:t>Méně časté</w:t>
            </w:r>
          </w:p>
          <w:p w14:paraId="598A480A" w14:textId="77777777" w:rsidR="008678FB" w:rsidRPr="008678FB" w:rsidRDefault="008678FB" w:rsidP="00416FC1">
            <w:pPr>
              <w:rPr>
                <w:sz w:val="22"/>
                <w:szCs w:val="22"/>
                <w:lang w:val="fr-FR"/>
              </w:rPr>
            </w:pPr>
            <w:r w:rsidRPr="008678FB">
              <w:rPr>
                <w:sz w:val="22"/>
                <w:szCs w:val="22"/>
                <w:lang w:val="cs-CZ"/>
              </w:rPr>
              <w:t>Závrať</w:t>
            </w:r>
          </w:p>
        </w:tc>
      </w:tr>
      <w:tr w:rsidR="008678FB" w:rsidRPr="0073540C" w14:paraId="4F0899A6" w14:textId="77777777" w:rsidTr="00416FC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3FA12" w14:textId="77777777" w:rsidR="008678FB" w:rsidRPr="008678FB" w:rsidRDefault="008678FB" w:rsidP="00416FC1">
            <w:pPr>
              <w:rPr>
                <w:sz w:val="22"/>
                <w:szCs w:val="22"/>
                <w:u w:val="single"/>
                <w:lang w:val="cs-CZ"/>
              </w:rPr>
            </w:pPr>
            <w:r w:rsidRPr="008678FB">
              <w:rPr>
                <w:sz w:val="22"/>
                <w:szCs w:val="22"/>
                <w:lang w:val="cs-CZ"/>
              </w:rPr>
              <w:lastRenderedPageBreak/>
              <w:t>Poruchy oka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57DB" w14:textId="77777777" w:rsidR="008678FB" w:rsidRPr="008678FB" w:rsidRDefault="008678FB" w:rsidP="00416FC1">
            <w:pPr>
              <w:rPr>
                <w:sz w:val="22"/>
                <w:szCs w:val="22"/>
                <w:lang w:val="cs-CZ"/>
              </w:rPr>
            </w:pPr>
            <w:r w:rsidRPr="008678FB">
              <w:rPr>
                <w:sz w:val="22"/>
                <w:szCs w:val="22"/>
                <w:u w:val="single"/>
                <w:lang w:val="cs-CZ"/>
              </w:rPr>
              <w:t>Časté</w:t>
            </w:r>
          </w:p>
          <w:p w14:paraId="4A306C29" w14:textId="77777777" w:rsidR="008678FB" w:rsidRPr="008678FB" w:rsidRDefault="008678FB" w:rsidP="00416FC1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P</w:t>
            </w:r>
            <w:r w:rsidRPr="008678FB">
              <w:rPr>
                <w:sz w:val="22"/>
                <w:szCs w:val="22"/>
                <w:lang w:val="cs-CZ"/>
              </w:rPr>
              <w:t xml:space="preserve">tóza očního víčka, edém očního víčka, </w:t>
            </w:r>
            <w:r>
              <w:rPr>
                <w:sz w:val="22"/>
                <w:szCs w:val="22"/>
                <w:lang w:val="cs-CZ"/>
              </w:rPr>
              <w:t xml:space="preserve">ptóza obočí, </w:t>
            </w:r>
            <w:r w:rsidRPr="008678FB">
              <w:rPr>
                <w:sz w:val="22"/>
                <w:szCs w:val="22"/>
                <w:lang w:val="cs-CZ"/>
              </w:rPr>
              <w:t xml:space="preserve">suché oko, zvýšená tvorba slz, </w:t>
            </w:r>
            <w:proofErr w:type="spellStart"/>
            <w:r>
              <w:rPr>
                <w:sz w:val="22"/>
                <w:szCs w:val="22"/>
                <w:lang w:val="cs-CZ"/>
              </w:rPr>
              <w:t>a</w:t>
            </w:r>
            <w:r w:rsidRPr="008678FB">
              <w:rPr>
                <w:sz w:val="22"/>
                <w:szCs w:val="22"/>
                <w:lang w:val="cs-CZ"/>
              </w:rPr>
              <w:t>stenopie</w:t>
            </w:r>
            <w:proofErr w:type="spellEnd"/>
            <w:r w:rsidRPr="008678FB">
              <w:rPr>
                <w:sz w:val="22"/>
                <w:szCs w:val="22"/>
                <w:lang w:val="cs-CZ"/>
              </w:rPr>
              <w:t>*</w:t>
            </w:r>
            <w:r>
              <w:rPr>
                <w:sz w:val="22"/>
                <w:szCs w:val="22"/>
                <w:lang w:val="cs-CZ"/>
              </w:rPr>
              <w:t>,</w:t>
            </w:r>
            <w:r w:rsidRPr="008678FB">
              <w:rPr>
                <w:sz w:val="22"/>
                <w:szCs w:val="22"/>
                <w:lang w:val="cs-CZ"/>
              </w:rPr>
              <w:t xml:space="preserve"> svalové záškuby (záškuby svalů okolo </w:t>
            </w:r>
            <w:proofErr w:type="gramStart"/>
            <w:r w:rsidRPr="008678FB">
              <w:rPr>
                <w:sz w:val="22"/>
                <w:szCs w:val="22"/>
                <w:lang w:val="cs-CZ"/>
              </w:rPr>
              <w:t>očí)*</w:t>
            </w:r>
            <w:proofErr w:type="gramEnd"/>
          </w:p>
          <w:p w14:paraId="3EB2479F" w14:textId="77777777" w:rsidR="008678FB" w:rsidRPr="008678FB" w:rsidRDefault="008678FB" w:rsidP="00416FC1">
            <w:pPr>
              <w:rPr>
                <w:sz w:val="22"/>
                <w:szCs w:val="22"/>
                <w:lang w:val="cs-CZ"/>
              </w:rPr>
            </w:pPr>
            <w:r w:rsidRPr="008678FB">
              <w:rPr>
                <w:sz w:val="22"/>
                <w:szCs w:val="22"/>
                <w:u w:val="single"/>
                <w:lang w:val="cs-CZ"/>
              </w:rPr>
              <w:t>Méně časté</w:t>
            </w:r>
          </w:p>
          <w:p w14:paraId="587279B9" w14:textId="77777777" w:rsidR="008678FB" w:rsidRPr="008678FB" w:rsidRDefault="008678FB" w:rsidP="00416FC1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Záškuby očního víčka, porucha</w:t>
            </w:r>
            <w:r w:rsidRPr="008678FB">
              <w:rPr>
                <w:sz w:val="22"/>
                <w:szCs w:val="22"/>
                <w:lang w:val="cs-CZ"/>
              </w:rPr>
              <w:t xml:space="preserve"> zraku*, rozmazané vidění*, diplopie*</w:t>
            </w:r>
          </w:p>
          <w:p w14:paraId="3AB49BAE" w14:textId="77777777" w:rsidR="008678FB" w:rsidRPr="008678FB" w:rsidRDefault="008678FB" w:rsidP="00416FC1">
            <w:pPr>
              <w:rPr>
                <w:sz w:val="22"/>
                <w:szCs w:val="22"/>
                <w:u w:val="single"/>
                <w:lang w:val="cs-CZ"/>
              </w:rPr>
            </w:pPr>
            <w:r w:rsidRPr="008678FB">
              <w:rPr>
                <w:sz w:val="22"/>
                <w:szCs w:val="22"/>
                <w:u w:val="single"/>
                <w:lang w:val="cs-CZ"/>
              </w:rPr>
              <w:t>Vzácné</w:t>
            </w:r>
          </w:p>
          <w:p w14:paraId="3DC52426" w14:textId="77777777" w:rsidR="008678FB" w:rsidRPr="008678FB" w:rsidRDefault="008678FB" w:rsidP="00416FC1">
            <w:pPr>
              <w:rPr>
                <w:sz w:val="22"/>
                <w:szCs w:val="22"/>
                <w:lang w:val="cs-CZ"/>
              </w:rPr>
            </w:pPr>
            <w:r w:rsidRPr="008678FB">
              <w:rPr>
                <w:sz w:val="22"/>
                <w:szCs w:val="22"/>
                <w:lang w:val="cs-CZ"/>
              </w:rPr>
              <w:t>Okohybná porucha</w:t>
            </w:r>
            <w:r w:rsidRPr="00B36632">
              <w:rPr>
                <w:sz w:val="22"/>
                <w:szCs w:val="22"/>
              </w:rPr>
              <w:t>*</w:t>
            </w:r>
          </w:p>
        </w:tc>
      </w:tr>
      <w:tr w:rsidR="008678FB" w:rsidRPr="0085592B" w14:paraId="4B76B9E3" w14:textId="77777777" w:rsidTr="00416FC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B58F6" w14:textId="77777777" w:rsidR="008678FB" w:rsidRPr="008678FB" w:rsidRDefault="008678FB" w:rsidP="00416FC1">
            <w:pPr>
              <w:rPr>
                <w:sz w:val="22"/>
                <w:szCs w:val="22"/>
                <w:u w:val="single"/>
                <w:lang w:val="cs-CZ"/>
              </w:rPr>
            </w:pPr>
            <w:r w:rsidRPr="008678FB">
              <w:rPr>
                <w:sz w:val="22"/>
                <w:szCs w:val="22"/>
                <w:lang w:val="cs-CZ"/>
              </w:rPr>
              <w:t>Celkové poruchy a reakce v místě aplikace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09F2C" w14:textId="77777777" w:rsidR="008678FB" w:rsidRPr="008678FB" w:rsidRDefault="008678FB" w:rsidP="00416FC1">
            <w:pPr>
              <w:rPr>
                <w:sz w:val="22"/>
                <w:szCs w:val="22"/>
                <w:lang w:val="cs-CZ"/>
              </w:rPr>
            </w:pPr>
            <w:r w:rsidRPr="008678FB">
              <w:rPr>
                <w:sz w:val="22"/>
                <w:szCs w:val="22"/>
                <w:u w:val="single"/>
                <w:lang w:val="cs-CZ"/>
              </w:rPr>
              <w:t>Velmi časté</w:t>
            </w:r>
          </w:p>
          <w:p w14:paraId="67373199" w14:textId="77777777" w:rsidR="008678FB" w:rsidRPr="008678FB" w:rsidRDefault="008678FB" w:rsidP="00416FC1">
            <w:pPr>
              <w:rPr>
                <w:sz w:val="22"/>
                <w:szCs w:val="22"/>
                <w:lang w:val="cs-CZ"/>
              </w:rPr>
            </w:pPr>
            <w:r w:rsidRPr="008678FB">
              <w:rPr>
                <w:sz w:val="22"/>
                <w:szCs w:val="22"/>
                <w:lang w:val="cs-CZ"/>
              </w:rPr>
              <w:t>Reakce v místě vpichu (</w:t>
            </w:r>
            <w:proofErr w:type="spellStart"/>
            <w:r w:rsidR="00E741BF">
              <w:rPr>
                <w:sz w:val="22"/>
                <w:szCs w:val="22"/>
                <w:lang w:val="cs-CZ"/>
              </w:rPr>
              <w:t>periorbitální</w:t>
            </w:r>
            <w:proofErr w:type="spellEnd"/>
            <w:r w:rsidR="00E741BF">
              <w:rPr>
                <w:sz w:val="22"/>
                <w:szCs w:val="22"/>
                <w:lang w:val="cs-CZ"/>
              </w:rPr>
              <w:t xml:space="preserve"> hematom, </w:t>
            </w:r>
            <w:r w:rsidR="00E741BF" w:rsidRPr="008678FB">
              <w:rPr>
                <w:sz w:val="22"/>
                <w:szCs w:val="22"/>
                <w:lang w:val="cs-CZ"/>
              </w:rPr>
              <w:t>hematom</w:t>
            </w:r>
            <w:r w:rsidR="00E741BF">
              <w:rPr>
                <w:sz w:val="22"/>
                <w:szCs w:val="22"/>
                <w:lang w:val="cs-CZ"/>
              </w:rPr>
              <w:t>, tvorba modřin,</w:t>
            </w:r>
            <w:r w:rsidRPr="008678FB">
              <w:rPr>
                <w:sz w:val="22"/>
                <w:szCs w:val="22"/>
                <w:lang w:val="cs-CZ"/>
              </w:rPr>
              <w:t xml:space="preserve"> </w:t>
            </w:r>
            <w:r w:rsidR="00E741BF" w:rsidRPr="008678FB">
              <w:rPr>
                <w:sz w:val="22"/>
                <w:szCs w:val="22"/>
                <w:lang w:val="cs-CZ"/>
              </w:rPr>
              <w:t>bolest, parestezie,</w:t>
            </w:r>
            <w:r w:rsidR="00E741BF">
              <w:rPr>
                <w:sz w:val="22"/>
                <w:szCs w:val="22"/>
                <w:lang w:val="cs-CZ"/>
              </w:rPr>
              <w:t xml:space="preserve"> </w:t>
            </w:r>
            <w:r w:rsidRPr="008678FB">
              <w:rPr>
                <w:sz w:val="22"/>
                <w:szCs w:val="22"/>
                <w:lang w:val="cs-CZ"/>
              </w:rPr>
              <w:t xml:space="preserve">erytém, </w:t>
            </w:r>
            <w:r w:rsidR="00E741BF">
              <w:rPr>
                <w:sz w:val="22"/>
                <w:szCs w:val="22"/>
                <w:lang w:val="cs-CZ"/>
              </w:rPr>
              <w:t xml:space="preserve">otok, </w:t>
            </w:r>
            <w:r w:rsidR="00E741BF" w:rsidRPr="008678FB">
              <w:rPr>
                <w:sz w:val="22"/>
                <w:szCs w:val="22"/>
                <w:lang w:val="cs-CZ"/>
              </w:rPr>
              <w:t>pruritus,</w:t>
            </w:r>
            <w:r w:rsidR="00E741BF">
              <w:rPr>
                <w:sz w:val="22"/>
                <w:szCs w:val="22"/>
                <w:lang w:val="cs-CZ"/>
              </w:rPr>
              <w:t xml:space="preserve"> </w:t>
            </w:r>
            <w:r w:rsidRPr="008678FB">
              <w:rPr>
                <w:sz w:val="22"/>
                <w:szCs w:val="22"/>
                <w:lang w:val="cs-CZ"/>
              </w:rPr>
              <w:t>edém</w:t>
            </w:r>
            <w:r w:rsidR="00E741BF" w:rsidRPr="008678FB">
              <w:rPr>
                <w:sz w:val="22"/>
                <w:szCs w:val="22"/>
                <w:lang w:val="cs-CZ"/>
              </w:rPr>
              <w:t>*</w:t>
            </w:r>
            <w:r w:rsidRPr="008678FB">
              <w:rPr>
                <w:sz w:val="22"/>
                <w:szCs w:val="22"/>
                <w:lang w:val="cs-CZ"/>
              </w:rPr>
              <w:t xml:space="preserve">, </w:t>
            </w:r>
            <w:r w:rsidR="00E741BF" w:rsidRPr="008678FB">
              <w:rPr>
                <w:sz w:val="22"/>
                <w:szCs w:val="22"/>
                <w:lang w:val="cs-CZ"/>
              </w:rPr>
              <w:t xml:space="preserve">vyrážka*, </w:t>
            </w:r>
            <w:r w:rsidRPr="008678FB">
              <w:rPr>
                <w:sz w:val="22"/>
                <w:szCs w:val="22"/>
                <w:lang w:val="cs-CZ"/>
              </w:rPr>
              <w:t>podráždění</w:t>
            </w:r>
            <w:r w:rsidR="00E741BF" w:rsidRPr="008678FB">
              <w:rPr>
                <w:sz w:val="22"/>
                <w:szCs w:val="22"/>
                <w:lang w:val="cs-CZ"/>
              </w:rPr>
              <w:t>*</w:t>
            </w:r>
            <w:r w:rsidRPr="008678FB">
              <w:rPr>
                <w:sz w:val="22"/>
                <w:szCs w:val="22"/>
                <w:lang w:val="cs-CZ"/>
              </w:rPr>
              <w:t>, nepříjemný pocit</w:t>
            </w:r>
            <w:r w:rsidR="00E741BF" w:rsidRPr="008678FB">
              <w:rPr>
                <w:sz w:val="22"/>
                <w:szCs w:val="22"/>
                <w:lang w:val="cs-CZ"/>
              </w:rPr>
              <w:t>*</w:t>
            </w:r>
            <w:r w:rsidRPr="008678FB">
              <w:rPr>
                <w:sz w:val="22"/>
                <w:szCs w:val="22"/>
                <w:lang w:val="cs-CZ"/>
              </w:rPr>
              <w:t>, bodání</w:t>
            </w:r>
            <w:r w:rsidR="00E741BF" w:rsidRPr="008678FB">
              <w:rPr>
                <w:sz w:val="22"/>
                <w:szCs w:val="22"/>
                <w:lang w:val="cs-CZ"/>
              </w:rPr>
              <w:t>*</w:t>
            </w:r>
            <w:r w:rsidRPr="008678FB">
              <w:rPr>
                <w:sz w:val="22"/>
                <w:szCs w:val="22"/>
                <w:lang w:val="cs-CZ"/>
              </w:rPr>
              <w:t>)</w:t>
            </w:r>
            <w:r w:rsidR="00E741BF">
              <w:rPr>
                <w:sz w:val="22"/>
                <w:szCs w:val="22"/>
                <w:lang w:val="cs-CZ"/>
              </w:rPr>
              <w:t>, astenie</w:t>
            </w:r>
            <w:r w:rsidR="00E741BF" w:rsidRPr="008678FB">
              <w:rPr>
                <w:sz w:val="22"/>
                <w:szCs w:val="22"/>
                <w:lang w:val="cs-CZ"/>
              </w:rPr>
              <w:t>*</w:t>
            </w:r>
            <w:r w:rsidR="00E741BF">
              <w:rPr>
                <w:sz w:val="22"/>
                <w:szCs w:val="22"/>
                <w:lang w:val="cs-CZ"/>
              </w:rPr>
              <w:t>, únava</w:t>
            </w:r>
            <w:r w:rsidR="00E741BF" w:rsidRPr="008678FB">
              <w:rPr>
                <w:sz w:val="22"/>
                <w:szCs w:val="22"/>
                <w:lang w:val="cs-CZ"/>
              </w:rPr>
              <w:t>*</w:t>
            </w:r>
            <w:r w:rsidR="00E741BF">
              <w:rPr>
                <w:sz w:val="22"/>
                <w:szCs w:val="22"/>
                <w:lang w:val="cs-CZ"/>
              </w:rPr>
              <w:t>, onemocnění podobné chřipce</w:t>
            </w:r>
            <w:r w:rsidR="00E741BF" w:rsidRPr="008678FB">
              <w:rPr>
                <w:sz w:val="22"/>
                <w:szCs w:val="22"/>
                <w:lang w:val="cs-CZ"/>
              </w:rPr>
              <w:t>*</w:t>
            </w:r>
          </w:p>
        </w:tc>
      </w:tr>
      <w:tr w:rsidR="008678FB" w:rsidRPr="0085592B" w14:paraId="477F935E" w14:textId="77777777" w:rsidTr="00416FC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6043F" w14:textId="77777777" w:rsidR="008678FB" w:rsidRPr="008678FB" w:rsidRDefault="008678FB" w:rsidP="00416FC1">
            <w:pPr>
              <w:rPr>
                <w:sz w:val="22"/>
                <w:szCs w:val="22"/>
                <w:u w:val="single"/>
                <w:lang w:val="cs-CZ"/>
              </w:rPr>
            </w:pPr>
            <w:r w:rsidRPr="008678FB">
              <w:rPr>
                <w:sz w:val="22"/>
                <w:szCs w:val="22"/>
                <w:lang w:val="cs-CZ"/>
              </w:rPr>
              <w:t>Poruchy imunitního systému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DA300" w14:textId="77777777" w:rsidR="008678FB" w:rsidRPr="008678FB" w:rsidRDefault="008678FB" w:rsidP="00416FC1">
            <w:pPr>
              <w:rPr>
                <w:sz w:val="22"/>
                <w:szCs w:val="22"/>
                <w:lang w:val="cs-CZ"/>
              </w:rPr>
            </w:pPr>
            <w:r w:rsidRPr="008678FB">
              <w:rPr>
                <w:sz w:val="22"/>
                <w:szCs w:val="22"/>
                <w:u w:val="single"/>
                <w:lang w:val="cs-CZ"/>
              </w:rPr>
              <w:t>Méně časté</w:t>
            </w:r>
          </w:p>
          <w:p w14:paraId="49832718" w14:textId="57C62E8D" w:rsidR="008678FB" w:rsidRPr="00E741BF" w:rsidRDefault="00AC08D8" w:rsidP="00416FC1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Hypersenzitivita </w:t>
            </w:r>
            <w:r w:rsidR="00E741BF">
              <w:rPr>
                <w:sz w:val="22"/>
                <w:szCs w:val="22"/>
                <w:lang w:val="cs-CZ"/>
              </w:rPr>
              <w:t>(oční alergie, přecitlivělost, vyrážka)</w:t>
            </w:r>
          </w:p>
        </w:tc>
      </w:tr>
      <w:tr w:rsidR="008678FB" w:rsidRPr="0085592B" w14:paraId="43928634" w14:textId="77777777" w:rsidTr="00416FC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55A37" w14:textId="77777777" w:rsidR="008678FB" w:rsidRPr="008678FB" w:rsidRDefault="008678FB" w:rsidP="00416FC1">
            <w:pPr>
              <w:rPr>
                <w:sz w:val="22"/>
                <w:szCs w:val="22"/>
                <w:u w:val="single"/>
                <w:lang w:val="cs-CZ"/>
              </w:rPr>
            </w:pPr>
            <w:r w:rsidRPr="008678FB">
              <w:rPr>
                <w:sz w:val="22"/>
                <w:szCs w:val="22"/>
                <w:lang w:val="cs-CZ"/>
              </w:rPr>
              <w:t>Poruchy kůže a podkožní tkáně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29405" w14:textId="77777777" w:rsidR="008678FB" w:rsidRPr="008678FB" w:rsidRDefault="008678FB" w:rsidP="00416FC1">
            <w:pPr>
              <w:rPr>
                <w:sz w:val="22"/>
                <w:szCs w:val="22"/>
                <w:lang w:val="cs-CZ"/>
              </w:rPr>
            </w:pPr>
            <w:r w:rsidRPr="008678FB">
              <w:rPr>
                <w:sz w:val="22"/>
                <w:szCs w:val="22"/>
                <w:u w:val="single"/>
                <w:lang w:val="cs-CZ"/>
              </w:rPr>
              <w:t>Méně časté</w:t>
            </w:r>
          </w:p>
          <w:p w14:paraId="3F156BD1" w14:textId="77777777" w:rsidR="008678FB" w:rsidRPr="00D848D5" w:rsidRDefault="00E741BF" w:rsidP="00416FC1">
            <w:pPr>
              <w:rPr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V</w:t>
            </w:r>
            <w:r w:rsidR="008678FB" w:rsidRPr="008678FB">
              <w:rPr>
                <w:sz w:val="22"/>
                <w:szCs w:val="22"/>
                <w:lang w:val="cs-CZ"/>
              </w:rPr>
              <w:t>yrážka</w:t>
            </w:r>
            <w:r w:rsidRPr="008678FB">
              <w:rPr>
                <w:sz w:val="22"/>
                <w:szCs w:val="22"/>
                <w:lang w:val="cs-CZ"/>
              </w:rPr>
              <w:t>*</w:t>
            </w:r>
            <w:r>
              <w:rPr>
                <w:sz w:val="22"/>
                <w:szCs w:val="22"/>
                <w:lang w:val="cs-CZ"/>
              </w:rPr>
              <w:t>,</w:t>
            </w:r>
            <w:r w:rsidRPr="008678FB">
              <w:rPr>
                <w:sz w:val="22"/>
                <w:szCs w:val="22"/>
                <w:lang w:val="cs-CZ"/>
              </w:rPr>
              <w:t xml:space="preserve"> </w:t>
            </w:r>
            <w:r>
              <w:rPr>
                <w:sz w:val="22"/>
                <w:szCs w:val="22"/>
                <w:lang w:val="cs-CZ"/>
              </w:rPr>
              <w:t>p</w:t>
            </w:r>
            <w:r w:rsidRPr="008678FB">
              <w:rPr>
                <w:sz w:val="22"/>
                <w:szCs w:val="22"/>
                <w:lang w:val="cs-CZ"/>
              </w:rPr>
              <w:t>ruritus*</w:t>
            </w:r>
          </w:p>
          <w:p w14:paraId="33D60F43" w14:textId="77777777" w:rsidR="008678FB" w:rsidRPr="008678FB" w:rsidRDefault="008678FB" w:rsidP="00416FC1">
            <w:pPr>
              <w:rPr>
                <w:sz w:val="22"/>
                <w:szCs w:val="22"/>
                <w:lang w:val="cs-CZ"/>
              </w:rPr>
            </w:pPr>
            <w:r w:rsidRPr="008678FB">
              <w:rPr>
                <w:sz w:val="22"/>
                <w:szCs w:val="22"/>
                <w:u w:val="single"/>
                <w:lang w:val="cs-CZ"/>
              </w:rPr>
              <w:t>Vzácné</w:t>
            </w:r>
          </w:p>
          <w:p w14:paraId="36144B1E" w14:textId="77777777" w:rsidR="008678FB" w:rsidRPr="008678FB" w:rsidRDefault="008678FB" w:rsidP="00416FC1">
            <w:pPr>
              <w:rPr>
                <w:sz w:val="22"/>
                <w:szCs w:val="22"/>
                <w:lang w:val="cs-CZ"/>
              </w:rPr>
            </w:pPr>
            <w:r w:rsidRPr="008678FB">
              <w:rPr>
                <w:sz w:val="22"/>
                <w:szCs w:val="22"/>
                <w:lang w:val="cs-CZ"/>
              </w:rPr>
              <w:t>Kopřivka</w:t>
            </w:r>
            <w:r w:rsidR="00E741BF" w:rsidRPr="008678FB">
              <w:rPr>
                <w:sz w:val="22"/>
                <w:szCs w:val="22"/>
                <w:lang w:val="cs-CZ"/>
              </w:rPr>
              <w:t>*</w:t>
            </w:r>
          </w:p>
        </w:tc>
      </w:tr>
    </w:tbl>
    <w:p w14:paraId="67335D98" w14:textId="77777777" w:rsidR="008678FB" w:rsidRPr="00E741BF" w:rsidRDefault="00E741BF" w:rsidP="008678FB">
      <w:pPr>
        <w:rPr>
          <w:sz w:val="22"/>
          <w:szCs w:val="22"/>
          <w:lang w:val="cs-CZ"/>
        </w:rPr>
      </w:pPr>
      <w:r w:rsidRPr="008678FB">
        <w:rPr>
          <w:sz w:val="22"/>
          <w:szCs w:val="22"/>
          <w:lang w:val="cs-CZ"/>
        </w:rPr>
        <w:t>*</w:t>
      </w:r>
      <w:r>
        <w:rPr>
          <w:sz w:val="22"/>
          <w:szCs w:val="22"/>
          <w:lang w:val="cs-CZ"/>
        </w:rPr>
        <w:t xml:space="preserve"> další nežádoucí účinky pozorované pouze v </w:t>
      </w:r>
      <w:r w:rsidRPr="00E741BF">
        <w:rPr>
          <w:sz w:val="22"/>
          <w:szCs w:val="22"/>
          <w:lang w:val="cs-CZ"/>
        </w:rPr>
        <w:t>klinických studií s přípravkem se stejnou účinnou látkou ve formě prášku</w:t>
      </w:r>
    </w:p>
    <w:p w14:paraId="389A6EDB" w14:textId="77777777" w:rsidR="008678FB" w:rsidRDefault="008678FB" w:rsidP="0056212D">
      <w:pPr>
        <w:pStyle w:val="Normln1"/>
        <w:keepNext/>
        <w:autoSpaceDE w:val="0"/>
        <w:autoSpaceDN w:val="0"/>
        <w:adjustRightInd w:val="0"/>
        <w:spacing w:line="240" w:lineRule="auto"/>
        <w:jc w:val="both"/>
        <w:rPr>
          <w:noProof/>
          <w:szCs w:val="22"/>
        </w:rPr>
      </w:pPr>
    </w:p>
    <w:p w14:paraId="179B8AD9" w14:textId="77777777" w:rsidR="00033D26" w:rsidRPr="00B3208E" w:rsidRDefault="001E3814" w:rsidP="00204AAB">
      <w:pPr>
        <w:pStyle w:val="Normln1"/>
        <w:autoSpaceDE w:val="0"/>
        <w:autoSpaceDN w:val="0"/>
        <w:adjustRightInd w:val="0"/>
        <w:spacing w:line="240" w:lineRule="auto"/>
        <w:rPr>
          <w:szCs w:val="22"/>
          <w:u w:val="single"/>
        </w:rPr>
      </w:pPr>
      <w:r>
        <w:rPr>
          <w:u w:val="single"/>
        </w:rPr>
        <w:t>Hlášení podezření na nežádoucí účinky</w:t>
      </w:r>
    </w:p>
    <w:p w14:paraId="452A5EA7" w14:textId="08548232" w:rsidR="00033D26" w:rsidRPr="008225EB" w:rsidRDefault="001E3814" w:rsidP="00204AAB">
      <w:pPr>
        <w:pStyle w:val="Normln1"/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t xml:space="preserve">Hlášení podezření na nežádoucí účinky po registraci léčivého přípravku je důležité. Umožňuje to pokračovat ve sledování poměru přínosů a rizik léčivého přípravku. Žádáme zdravotnické pracovníky, aby hlásili podezření na nežádoucí účinky </w:t>
      </w:r>
      <w:r w:rsidR="00E741BF">
        <w:t xml:space="preserve">na adresu: Státní ústav pro kontrolu léčiv, Šrobárova 48, 100 41 Praha 10. Webové stránky: </w:t>
      </w:r>
      <w:hyperlink r:id="rId12" w:history="1">
        <w:r w:rsidR="00E741BF" w:rsidRPr="00B76A57">
          <w:rPr>
            <w:rStyle w:val="Hyperlink"/>
          </w:rPr>
          <w:t>www.sukl.cz/nahlasit-nezadouci-ucinek</w:t>
        </w:r>
      </w:hyperlink>
      <w:r w:rsidR="00E741BF">
        <w:t>.</w:t>
      </w:r>
    </w:p>
    <w:p w14:paraId="057E12E0" w14:textId="77777777" w:rsidR="008D35AD" w:rsidRPr="00A3136F" w:rsidRDefault="008D35AD" w:rsidP="00204AAB">
      <w:pPr>
        <w:pStyle w:val="Normln1"/>
        <w:spacing w:line="240" w:lineRule="auto"/>
        <w:rPr>
          <w:noProof/>
          <w:szCs w:val="22"/>
        </w:rPr>
      </w:pPr>
    </w:p>
    <w:p w14:paraId="50A6C58F" w14:textId="77777777" w:rsidR="00812D16" w:rsidRPr="00412450" w:rsidRDefault="001E3814" w:rsidP="00AD7832">
      <w:pPr>
        <w:pStyle w:val="Normln1"/>
        <w:keepNext/>
        <w:numPr>
          <w:ilvl w:val="1"/>
          <w:numId w:val="1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Předávkování</w:t>
      </w:r>
    </w:p>
    <w:p w14:paraId="28F5E2E8" w14:textId="77777777" w:rsidR="00812D16" w:rsidRDefault="00812D16" w:rsidP="00204AAB">
      <w:pPr>
        <w:pStyle w:val="Normln1"/>
        <w:spacing w:line="240" w:lineRule="auto"/>
        <w:rPr>
          <w:noProof/>
          <w:szCs w:val="22"/>
        </w:rPr>
      </w:pPr>
    </w:p>
    <w:p w14:paraId="7C0E9D98" w14:textId="77777777" w:rsidR="004F1551" w:rsidRPr="004F1551" w:rsidRDefault="004F1551" w:rsidP="004F1551">
      <w:pPr>
        <w:pStyle w:val="Normln1"/>
        <w:rPr>
          <w:noProof/>
          <w:szCs w:val="22"/>
        </w:rPr>
      </w:pPr>
      <w:r w:rsidRPr="004F1551">
        <w:rPr>
          <w:noProof/>
          <w:szCs w:val="22"/>
        </w:rPr>
        <w:t xml:space="preserve">Po nadměrných dávkách botulotoxinu lze očekávat rozvoj neuromuskulární slabosti s řadou různých příznaků. Způsobí-li nadměrné dávky paralýzu respiračních svalů, může být zapotřebí respirační podpora. V případě předávkování </w:t>
      </w:r>
      <w:r>
        <w:rPr>
          <w:noProof/>
          <w:szCs w:val="22"/>
        </w:rPr>
        <w:t>má</w:t>
      </w:r>
      <w:r w:rsidRPr="004F1551">
        <w:rPr>
          <w:noProof/>
          <w:szCs w:val="22"/>
        </w:rPr>
        <w:t xml:space="preserve"> být pacient lékařsky sledován z hlediska příznaků nadměrné svalové slabosti nebo svalové paralýzy. </w:t>
      </w:r>
      <w:r>
        <w:rPr>
          <w:noProof/>
          <w:szCs w:val="22"/>
        </w:rPr>
        <w:t>Může být potřebná</w:t>
      </w:r>
      <w:r w:rsidRPr="004F1551">
        <w:rPr>
          <w:noProof/>
          <w:szCs w:val="22"/>
        </w:rPr>
        <w:t xml:space="preserve"> symptomatická léčba.</w:t>
      </w:r>
    </w:p>
    <w:p w14:paraId="57C0BCB7" w14:textId="77777777" w:rsidR="004F1551" w:rsidRDefault="004F1551" w:rsidP="004F1551">
      <w:pPr>
        <w:pStyle w:val="Normln1"/>
        <w:rPr>
          <w:noProof/>
          <w:szCs w:val="22"/>
        </w:rPr>
      </w:pPr>
    </w:p>
    <w:p w14:paraId="181492EC" w14:textId="77777777" w:rsidR="004F1551" w:rsidRPr="004F1551" w:rsidRDefault="004F1551" w:rsidP="004F1551">
      <w:pPr>
        <w:pStyle w:val="Normln1"/>
        <w:rPr>
          <w:noProof/>
          <w:szCs w:val="22"/>
        </w:rPr>
      </w:pPr>
      <w:r w:rsidRPr="004F1551">
        <w:rPr>
          <w:noProof/>
          <w:szCs w:val="22"/>
        </w:rPr>
        <w:t>Příznaky předávkování se nemusí objevit bezprostředně po podání.</w:t>
      </w:r>
    </w:p>
    <w:p w14:paraId="6855246D" w14:textId="77777777" w:rsidR="004F1551" w:rsidRDefault="004F1551" w:rsidP="004F1551">
      <w:pPr>
        <w:pStyle w:val="Normln1"/>
        <w:spacing w:line="240" w:lineRule="auto"/>
        <w:rPr>
          <w:noProof/>
          <w:szCs w:val="22"/>
        </w:rPr>
      </w:pPr>
    </w:p>
    <w:p w14:paraId="25634862" w14:textId="6F02ABB2" w:rsidR="004F1551" w:rsidRDefault="004F1551" w:rsidP="004F1551">
      <w:pPr>
        <w:pStyle w:val="Normln1"/>
        <w:spacing w:line="240" w:lineRule="auto"/>
        <w:rPr>
          <w:noProof/>
          <w:szCs w:val="22"/>
        </w:rPr>
      </w:pPr>
      <w:r w:rsidRPr="004F1551">
        <w:rPr>
          <w:noProof/>
          <w:szCs w:val="22"/>
        </w:rPr>
        <w:t xml:space="preserve">Hospitalizace </w:t>
      </w:r>
      <w:r>
        <w:rPr>
          <w:noProof/>
          <w:szCs w:val="22"/>
        </w:rPr>
        <w:t>má</w:t>
      </w:r>
      <w:r w:rsidRPr="004F1551">
        <w:rPr>
          <w:noProof/>
          <w:szCs w:val="22"/>
        </w:rPr>
        <w:t xml:space="preserve"> být zvážena u pacientů se symptomy </w:t>
      </w:r>
      <w:r w:rsidR="003138FE">
        <w:rPr>
          <w:noProof/>
          <w:szCs w:val="22"/>
        </w:rPr>
        <w:t>předávkování</w:t>
      </w:r>
      <w:r w:rsidR="003138FE" w:rsidRPr="004F1551">
        <w:rPr>
          <w:noProof/>
          <w:szCs w:val="22"/>
        </w:rPr>
        <w:t xml:space="preserve"> </w:t>
      </w:r>
      <w:r w:rsidRPr="004F1551">
        <w:rPr>
          <w:noProof/>
          <w:szCs w:val="22"/>
        </w:rPr>
        <w:t>botulotoxinem (tj. kombinace svalové slabosti, ptózy, diplopie, poruchy polykání či řeči nebo paréza respiračních svalů).</w:t>
      </w:r>
    </w:p>
    <w:p w14:paraId="6CDCA8D2" w14:textId="77777777" w:rsidR="004F1551" w:rsidRPr="00412450" w:rsidRDefault="004F1551" w:rsidP="004F1551">
      <w:pPr>
        <w:pStyle w:val="Normln1"/>
        <w:spacing w:line="240" w:lineRule="auto"/>
        <w:rPr>
          <w:noProof/>
          <w:szCs w:val="22"/>
        </w:rPr>
      </w:pPr>
    </w:p>
    <w:p w14:paraId="68457C98" w14:textId="77777777" w:rsidR="00B3473B" w:rsidRDefault="00B3473B" w:rsidP="00B3473B">
      <w:pPr>
        <w:pStyle w:val="Normln1"/>
        <w:keepNext/>
        <w:suppressAutoHyphens/>
        <w:spacing w:line="240" w:lineRule="auto"/>
      </w:pPr>
    </w:p>
    <w:p w14:paraId="4CC9BA3F" w14:textId="77777777" w:rsidR="00812D16" w:rsidRPr="006B4557" w:rsidRDefault="001E3814" w:rsidP="00AD7832">
      <w:pPr>
        <w:pStyle w:val="Normln1"/>
        <w:keepNext/>
        <w:numPr>
          <w:ilvl w:val="0"/>
          <w:numId w:val="1"/>
        </w:numPr>
        <w:suppressAutoHyphens/>
        <w:spacing w:line="240" w:lineRule="auto"/>
      </w:pPr>
      <w:r>
        <w:rPr>
          <w:b/>
        </w:rPr>
        <w:t>FARMAKOLOGICKÉ VLASTNOSTI</w:t>
      </w:r>
    </w:p>
    <w:p w14:paraId="71FAD35B" w14:textId="77777777" w:rsidR="00812D16" w:rsidRPr="006B4557" w:rsidRDefault="00812D16" w:rsidP="0056212D">
      <w:pPr>
        <w:pStyle w:val="Normln1"/>
        <w:keepNext/>
        <w:spacing w:line="240" w:lineRule="auto"/>
      </w:pPr>
    </w:p>
    <w:p w14:paraId="3E8B4D69" w14:textId="77777777" w:rsidR="00812D16" w:rsidRPr="006B4557" w:rsidRDefault="001E3814" w:rsidP="00AD7832">
      <w:pPr>
        <w:pStyle w:val="Normln1"/>
        <w:keepNext/>
        <w:numPr>
          <w:ilvl w:val="1"/>
          <w:numId w:val="1"/>
        </w:numPr>
        <w:spacing w:line="240" w:lineRule="auto"/>
        <w:outlineLvl w:val="0"/>
      </w:pPr>
      <w:r>
        <w:rPr>
          <w:b/>
        </w:rPr>
        <w:t>Farmakodynamické vlastnosti</w:t>
      </w:r>
    </w:p>
    <w:p w14:paraId="012578A9" w14:textId="77777777" w:rsidR="00812D16" w:rsidRPr="006B4557" w:rsidRDefault="00812D16" w:rsidP="0056212D">
      <w:pPr>
        <w:pStyle w:val="Normln1"/>
        <w:keepNext/>
        <w:spacing w:line="240" w:lineRule="auto"/>
      </w:pPr>
    </w:p>
    <w:p w14:paraId="159291C3" w14:textId="77777777" w:rsidR="004F1551" w:rsidRDefault="001E3814" w:rsidP="00204AAB">
      <w:pPr>
        <w:pStyle w:val="Normln1"/>
        <w:spacing w:line="240" w:lineRule="auto"/>
        <w:outlineLvl w:val="0"/>
      </w:pPr>
      <w:r>
        <w:t xml:space="preserve">Farmakoterapeutická skupina: </w:t>
      </w:r>
      <w:r w:rsidR="004F1551" w:rsidRPr="004F1551">
        <w:t xml:space="preserve">jiná periferně působící </w:t>
      </w:r>
      <w:proofErr w:type="spellStart"/>
      <w:r w:rsidR="004F1551" w:rsidRPr="004F1551">
        <w:t>myorelaxancia</w:t>
      </w:r>
      <w:proofErr w:type="spellEnd"/>
      <w:r>
        <w:t xml:space="preserve">, </w:t>
      </w:r>
    </w:p>
    <w:p w14:paraId="32EE9951" w14:textId="77777777" w:rsidR="00812D16" w:rsidRPr="00067B16" w:rsidRDefault="001E3814" w:rsidP="00204AAB">
      <w:pPr>
        <w:pStyle w:val="Normln1"/>
        <w:spacing w:line="240" w:lineRule="auto"/>
        <w:outlineLvl w:val="0"/>
        <w:rPr>
          <w:noProof/>
          <w:szCs w:val="22"/>
        </w:rPr>
      </w:pPr>
      <w:r>
        <w:t xml:space="preserve">ATC kód: </w:t>
      </w:r>
      <w:r w:rsidR="004F1551" w:rsidRPr="004F1551">
        <w:t>M03AX01</w:t>
      </w:r>
      <w:r w:rsidR="007278CD">
        <w:t xml:space="preserve"> </w:t>
      </w:r>
    </w:p>
    <w:p w14:paraId="067C959A" w14:textId="6A75EA13" w:rsidR="00812D16" w:rsidRPr="00F05B66" w:rsidRDefault="006D376B" w:rsidP="00204AAB">
      <w:pPr>
        <w:pStyle w:val="Normln1"/>
        <w:spacing w:line="240" w:lineRule="auto"/>
        <w:rPr>
          <w:noProof/>
          <w:szCs w:val="22"/>
        </w:rPr>
      </w:pPr>
      <w:r>
        <w:rPr>
          <w:noProof/>
          <w:szCs w:val="22"/>
        </w:rPr>
        <w:t xml:space="preserve"> </w:t>
      </w:r>
    </w:p>
    <w:p w14:paraId="7483F69E" w14:textId="68F4B75A" w:rsidR="00812D16" w:rsidRDefault="001E3814" w:rsidP="00204AAB">
      <w:pPr>
        <w:pStyle w:val="Normln1"/>
        <w:autoSpaceDE w:val="0"/>
        <w:autoSpaceDN w:val="0"/>
        <w:adjustRightInd w:val="0"/>
        <w:spacing w:line="240" w:lineRule="auto"/>
        <w:rPr>
          <w:u w:val="single"/>
        </w:rPr>
      </w:pPr>
      <w:r w:rsidRPr="00F002E3">
        <w:rPr>
          <w:u w:val="single"/>
        </w:rPr>
        <w:t>Mechanismus účinku</w:t>
      </w:r>
    </w:p>
    <w:p w14:paraId="05990067" w14:textId="77777777" w:rsidR="004F1551" w:rsidRDefault="004F1551" w:rsidP="004F1551">
      <w:pPr>
        <w:pStyle w:val="Normln1"/>
        <w:autoSpaceDE w:val="0"/>
        <w:autoSpaceDN w:val="0"/>
        <w:adjustRightInd w:val="0"/>
      </w:pPr>
      <w:r>
        <w:lastRenderedPageBreak/>
        <w:t>Primárním farmakodynamickým účinkem botulotoxinu typu A je chemická denervace léčeného svalu, jež má za následek měřitelný pokles sdruženého akčního potenciálu svalu. To způsobuje lokalizované snížení svalové aktivity.</w:t>
      </w:r>
    </w:p>
    <w:p w14:paraId="59B127FD" w14:textId="77777777" w:rsidR="004F1551" w:rsidRPr="004F1551" w:rsidRDefault="004F1551" w:rsidP="004F1551">
      <w:pPr>
        <w:pStyle w:val="Normln1"/>
        <w:autoSpaceDE w:val="0"/>
        <w:autoSpaceDN w:val="0"/>
        <w:adjustRightInd w:val="0"/>
        <w:spacing w:line="240" w:lineRule="auto"/>
      </w:pPr>
      <w:r>
        <w:t xml:space="preserve">Botulotoxin typu A je </w:t>
      </w:r>
      <w:proofErr w:type="spellStart"/>
      <w:r>
        <w:t>myorelaxans</w:t>
      </w:r>
      <w:proofErr w:type="spellEnd"/>
      <w:r>
        <w:t xml:space="preserve">, které dočasně oslabuje aktivitu svalů. Po injekci botulotoxin typu A účinkuje tak, že blokuje transport </w:t>
      </w:r>
      <w:proofErr w:type="spellStart"/>
      <w:r>
        <w:t>neurotransmitteru</w:t>
      </w:r>
      <w:proofErr w:type="spellEnd"/>
      <w:r>
        <w:t xml:space="preserve"> acetylcholinu na neuromuskulárních spojích, které se nacházejí mezi nervovým zakončením a svalovým vláknem. Mechanismus účinku zahrnuje 4 hlavní fáze. Aby se účinek projevil, musí všechny tyto fáze proběhnout správně. Následkem je zastavení kontrakcí cílových svalů. Účinek přetrvává po dobu, dokud se spoj nezotaví a neobnoví se svalová aktivita.  </w:t>
      </w:r>
    </w:p>
    <w:p w14:paraId="7C57F411" w14:textId="77777777" w:rsidR="004F1551" w:rsidRPr="004F1551" w:rsidRDefault="004F1551" w:rsidP="00204AAB">
      <w:pPr>
        <w:pStyle w:val="Normln1"/>
        <w:autoSpaceDE w:val="0"/>
        <w:autoSpaceDN w:val="0"/>
        <w:adjustRightInd w:val="0"/>
        <w:spacing w:line="240" w:lineRule="auto"/>
      </w:pPr>
    </w:p>
    <w:p w14:paraId="553B243D" w14:textId="77777777" w:rsidR="00812D16" w:rsidRDefault="001E3814" w:rsidP="00204AAB">
      <w:pPr>
        <w:pStyle w:val="Normln1"/>
        <w:autoSpaceDE w:val="0"/>
        <w:autoSpaceDN w:val="0"/>
        <w:adjustRightInd w:val="0"/>
        <w:spacing w:line="240" w:lineRule="auto"/>
        <w:rPr>
          <w:u w:val="single"/>
        </w:rPr>
      </w:pPr>
      <w:r w:rsidRPr="00F002E3">
        <w:rPr>
          <w:u w:val="single"/>
        </w:rPr>
        <w:t>Klinická účinnost a bezpečnost</w:t>
      </w:r>
    </w:p>
    <w:p w14:paraId="58EA1FEF" w14:textId="0F2AF9A0" w:rsidR="004F1551" w:rsidRPr="004F1551" w:rsidRDefault="004F1551" w:rsidP="00204AAB">
      <w:pPr>
        <w:pStyle w:val="Normln1"/>
        <w:autoSpaceDE w:val="0"/>
        <w:autoSpaceDN w:val="0"/>
        <w:adjustRightInd w:val="0"/>
        <w:spacing w:line="240" w:lineRule="auto"/>
      </w:pPr>
      <w:r w:rsidRPr="004F1551">
        <w:t xml:space="preserve">Ve 2 </w:t>
      </w:r>
      <w:proofErr w:type="spellStart"/>
      <w:r w:rsidRPr="004F1551">
        <w:t>pivotních</w:t>
      </w:r>
      <w:proofErr w:type="spellEnd"/>
      <w:r w:rsidRPr="004F1551">
        <w:t xml:space="preserve"> studiích bylo léčeno celkem 372 pacientů </w:t>
      </w:r>
      <w:r w:rsidR="003138FE">
        <w:t>s </w:t>
      </w:r>
      <w:proofErr w:type="spellStart"/>
      <w:r w:rsidR="003138FE">
        <w:t>glabelárními</w:t>
      </w:r>
      <w:proofErr w:type="spellEnd"/>
      <w:r w:rsidR="003138FE">
        <w:t xml:space="preserve"> vráskami </w:t>
      </w:r>
      <w:r w:rsidRPr="004F1551">
        <w:t>středn</w:t>
      </w:r>
      <w:r w:rsidR="003138FE">
        <w:t xml:space="preserve">ího až </w:t>
      </w:r>
      <w:r w:rsidRPr="004F1551">
        <w:t>těžk</w:t>
      </w:r>
      <w:r w:rsidR="003138FE">
        <w:t>ého stupně</w:t>
      </w:r>
      <w:r w:rsidRPr="004F1551">
        <w:t xml:space="preserve">, 250 v doporučené dávce 50 </w:t>
      </w:r>
      <w:proofErr w:type="spellStart"/>
      <w:r w:rsidRPr="004F1551">
        <w:t>Speywood</w:t>
      </w:r>
      <w:proofErr w:type="spellEnd"/>
      <w:r w:rsidRPr="004F1551">
        <w:t xml:space="preserve"> jednotek a 122 placebem.</w:t>
      </w:r>
    </w:p>
    <w:p w14:paraId="28D8039E" w14:textId="77777777" w:rsidR="004F1551" w:rsidRDefault="004F1551" w:rsidP="00204AAB">
      <w:pPr>
        <w:pStyle w:val="Normln1"/>
        <w:autoSpaceDE w:val="0"/>
        <w:autoSpaceDN w:val="0"/>
        <w:adjustRightInd w:val="0"/>
        <w:spacing w:line="240" w:lineRule="auto"/>
      </w:pPr>
    </w:p>
    <w:p w14:paraId="020F9E8B" w14:textId="77777777" w:rsidR="004F1551" w:rsidRDefault="004F1551" w:rsidP="004F1551">
      <w:pPr>
        <w:pStyle w:val="Normln1"/>
        <w:autoSpaceDE w:val="0"/>
        <w:autoSpaceDN w:val="0"/>
        <w:adjustRightInd w:val="0"/>
      </w:pPr>
      <w:r>
        <w:t>Většina pacientů subjektivně uvedla účinek do 2 až 3 dnů, včetně 23</w:t>
      </w:r>
      <w:r w:rsidR="009747FA">
        <w:t xml:space="preserve"> </w:t>
      </w:r>
      <w:r>
        <w:t>% pacientů</w:t>
      </w:r>
      <w:r w:rsidR="009747FA">
        <w:t>, kteří uvedli účinek</w:t>
      </w:r>
      <w:r>
        <w:t xml:space="preserve"> </w:t>
      </w:r>
      <w:r w:rsidR="009747FA">
        <w:t>během</w:t>
      </w:r>
      <w:r>
        <w:t xml:space="preserve"> 1 dne.</w:t>
      </w:r>
    </w:p>
    <w:p w14:paraId="2C41DB51" w14:textId="77777777" w:rsidR="004F1551" w:rsidRDefault="009747FA" w:rsidP="004F1551">
      <w:pPr>
        <w:pStyle w:val="Normln1"/>
        <w:autoSpaceDE w:val="0"/>
        <w:autoSpaceDN w:val="0"/>
        <w:adjustRightInd w:val="0"/>
        <w:spacing w:line="240" w:lineRule="auto"/>
      </w:pPr>
      <w:r>
        <w:t>Jeden měsíc po injekci byl p</w:t>
      </w:r>
      <w:r w:rsidR="004F1551">
        <w:t xml:space="preserve">odíl </w:t>
      </w:r>
      <w:proofErr w:type="spellStart"/>
      <w:r w:rsidR="004F1551">
        <w:t>respond</w:t>
      </w:r>
      <w:r>
        <w:t>ér</w:t>
      </w:r>
      <w:r w:rsidR="004F1551">
        <w:t>ů</w:t>
      </w:r>
      <w:proofErr w:type="spellEnd"/>
      <w:r w:rsidR="004F1551">
        <w:t xml:space="preserve"> podle hodnocení zkoušejícího statisticky významně vyšší u pacientů léčených přípravkem </w:t>
      </w:r>
      <w:proofErr w:type="spellStart"/>
      <w:r w:rsidR="004F1551">
        <w:t>Alluzience</w:t>
      </w:r>
      <w:proofErr w:type="spellEnd"/>
      <w:r w:rsidR="004F1551">
        <w:t xml:space="preserve"> ve srovnání s placebem (primární cílový parametr), stejně jako ve všech ostatních časových bodech od 8 dnů do 6 měsíců (tabulka 2).</w:t>
      </w:r>
    </w:p>
    <w:p w14:paraId="75877B55" w14:textId="77777777" w:rsidR="009747FA" w:rsidRDefault="009747FA" w:rsidP="004F1551">
      <w:pPr>
        <w:pStyle w:val="Normln1"/>
        <w:autoSpaceDE w:val="0"/>
        <w:autoSpaceDN w:val="0"/>
        <w:adjustRightInd w:val="0"/>
        <w:spacing w:line="240" w:lineRule="auto"/>
      </w:pPr>
    </w:p>
    <w:p w14:paraId="6993529A" w14:textId="4DCC7CC9" w:rsidR="009747FA" w:rsidRDefault="009747FA" w:rsidP="004F1551">
      <w:pPr>
        <w:pStyle w:val="Normln1"/>
        <w:autoSpaceDE w:val="0"/>
        <w:autoSpaceDN w:val="0"/>
        <w:adjustRightInd w:val="0"/>
        <w:spacing w:line="240" w:lineRule="auto"/>
      </w:pPr>
      <w:r>
        <w:t xml:space="preserve">Tabulka 2: </w:t>
      </w:r>
      <w:proofErr w:type="spellStart"/>
      <w:r w:rsidR="003138FE" w:rsidRPr="002E0DC5">
        <w:rPr>
          <w:i/>
          <w:iCs/>
        </w:rPr>
        <w:t>Investigator</w:t>
      </w:r>
      <w:proofErr w:type="spellEnd"/>
      <w:r w:rsidR="003138FE" w:rsidRPr="002E0DC5">
        <w:rPr>
          <w:i/>
          <w:iCs/>
        </w:rPr>
        <w:t xml:space="preserve"> Live </w:t>
      </w:r>
      <w:proofErr w:type="spellStart"/>
      <w:r w:rsidR="003138FE" w:rsidRPr="002E0DC5">
        <w:rPr>
          <w:i/>
          <w:iCs/>
        </w:rPr>
        <w:t>Assessment</w:t>
      </w:r>
      <w:proofErr w:type="spellEnd"/>
      <w:r w:rsidR="003138FE">
        <w:t xml:space="preserve"> </w:t>
      </w:r>
      <w:r w:rsidRPr="009747FA">
        <w:t xml:space="preserve">při maximálním </w:t>
      </w:r>
      <w:proofErr w:type="gramStart"/>
      <w:r w:rsidRPr="009747FA">
        <w:t>zamračení - míra</w:t>
      </w:r>
      <w:proofErr w:type="gramEnd"/>
      <w:r w:rsidRPr="009747FA">
        <w:t xml:space="preserve"> odpovědi (%) v různých časových bodech</w:t>
      </w:r>
    </w:p>
    <w:p w14:paraId="53D4DF58" w14:textId="77777777" w:rsidR="009747FA" w:rsidRDefault="009747FA" w:rsidP="004F1551">
      <w:pPr>
        <w:pStyle w:val="Normln1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1643"/>
        <w:gridCol w:w="1501"/>
      </w:tblGrid>
      <w:tr w:rsidR="009747FA" w:rsidRPr="009747FA" w14:paraId="084C6BA1" w14:textId="77777777" w:rsidTr="00416FC1">
        <w:trPr>
          <w:cantSplit/>
          <w:tblHeader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8892769" w14:textId="77777777" w:rsidR="009747FA" w:rsidRPr="009747FA" w:rsidRDefault="009747FA" w:rsidP="00416F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fr-FR"/>
              </w:rPr>
              <w:t>Návštěva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fr-FR"/>
              </w:rPr>
              <w:t xml:space="preserve"> po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fr-FR"/>
              </w:rPr>
              <w:t>injekci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0B9A4F6" w14:textId="77777777" w:rsidR="009747FA" w:rsidRPr="009747FA" w:rsidRDefault="009747FA" w:rsidP="00416F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9747FA">
              <w:rPr>
                <w:b/>
                <w:bCs/>
                <w:color w:val="000000"/>
                <w:sz w:val="22"/>
                <w:szCs w:val="22"/>
                <w:lang w:eastAsia="fr-FR"/>
              </w:rPr>
              <w:t>Alluzience</w:t>
            </w:r>
            <w:proofErr w:type="spellEnd"/>
            <w:r w:rsidRPr="009747FA">
              <w:rPr>
                <w:b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9747FA">
              <w:rPr>
                <w:b/>
                <w:bCs/>
                <w:color w:val="000000"/>
                <w:sz w:val="22"/>
                <w:szCs w:val="22"/>
                <w:lang w:eastAsia="fr-FR"/>
              </w:rPr>
              <w:br/>
              <w:t>(</w:t>
            </w:r>
            <w:r>
              <w:rPr>
                <w:b/>
                <w:bCs/>
                <w:color w:val="000000"/>
                <w:sz w:val="22"/>
                <w:szCs w:val="22"/>
                <w:lang w:eastAsia="fr-FR"/>
              </w:rPr>
              <w:t>n</w:t>
            </w:r>
            <w:r w:rsidRPr="009747FA">
              <w:rPr>
                <w:b/>
                <w:bCs/>
                <w:color w:val="000000"/>
                <w:sz w:val="22"/>
                <w:szCs w:val="22"/>
                <w:lang w:eastAsia="fr-FR"/>
              </w:rPr>
              <w:t>=250)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CFA4596" w14:textId="77777777" w:rsidR="009747FA" w:rsidRPr="009747FA" w:rsidRDefault="009747FA" w:rsidP="00416F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b/>
                <w:bCs/>
                <w:color w:val="000000"/>
                <w:sz w:val="22"/>
                <w:szCs w:val="22"/>
                <w:lang w:eastAsia="fr-FR"/>
              </w:rPr>
              <w:t>Placebo</w:t>
            </w:r>
            <w:r w:rsidRPr="009747FA">
              <w:rPr>
                <w:b/>
                <w:bCs/>
                <w:color w:val="000000"/>
                <w:sz w:val="22"/>
                <w:szCs w:val="22"/>
                <w:lang w:eastAsia="fr-FR"/>
              </w:rPr>
              <w:br/>
              <w:t>(</w:t>
            </w:r>
            <w:r>
              <w:rPr>
                <w:b/>
                <w:bCs/>
                <w:color w:val="000000"/>
                <w:sz w:val="22"/>
                <w:szCs w:val="22"/>
                <w:lang w:eastAsia="fr-FR"/>
              </w:rPr>
              <w:t>n</w:t>
            </w:r>
            <w:r w:rsidRPr="009747FA">
              <w:rPr>
                <w:b/>
                <w:bCs/>
                <w:color w:val="000000"/>
                <w:sz w:val="22"/>
                <w:szCs w:val="22"/>
                <w:lang w:eastAsia="fr-FR"/>
              </w:rPr>
              <w:t>=122)</w:t>
            </w:r>
          </w:p>
        </w:tc>
      </w:tr>
      <w:tr w:rsidR="009747FA" w:rsidRPr="009747FA" w14:paraId="1D61C6F6" w14:textId="77777777" w:rsidTr="00416FC1">
        <w:trPr>
          <w:cantSplit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6C9B4AF" w14:textId="77777777" w:rsidR="009747FA" w:rsidRPr="009747FA" w:rsidRDefault="009747FA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color w:val="000000"/>
                <w:sz w:val="22"/>
                <w:szCs w:val="22"/>
                <w:lang w:eastAsia="fr-FR"/>
              </w:rPr>
              <w:t xml:space="preserve">8 </w:t>
            </w:r>
            <w:proofErr w:type="spellStart"/>
            <w:r>
              <w:rPr>
                <w:color w:val="000000"/>
                <w:sz w:val="22"/>
                <w:szCs w:val="22"/>
                <w:lang w:eastAsia="fr-FR"/>
              </w:rPr>
              <w:t>dní</w:t>
            </w:r>
            <w:proofErr w:type="spellEnd"/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259C6E" w14:textId="77777777" w:rsidR="009747FA" w:rsidRPr="009747FA" w:rsidRDefault="009747FA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color w:val="000000"/>
                <w:sz w:val="22"/>
                <w:szCs w:val="22"/>
                <w:lang w:eastAsia="fr-FR"/>
              </w:rPr>
              <w:t>80</w:t>
            </w:r>
            <w:r>
              <w:rPr>
                <w:color w:val="000000"/>
                <w:sz w:val="22"/>
                <w:szCs w:val="22"/>
                <w:lang w:eastAsia="fr-FR"/>
              </w:rPr>
              <w:t>,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0</w:t>
            </w:r>
            <w:r>
              <w:rPr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%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EEEF5E" w14:textId="77777777" w:rsidR="009747FA" w:rsidRPr="009747FA" w:rsidRDefault="009747FA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color w:val="000000"/>
                <w:sz w:val="22"/>
                <w:szCs w:val="22"/>
                <w:lang w:eastAsia="fr-FR"/>
              </w:rPr>
              <w:t>2</w:t>
            </w:r>
            <w:r>
              <w:rPr>
                <w:color w:val="000000"/>
                <w:sz w:val="22"/>
                <w:szCs w:val="22"/>
                <w:lang w:eastAsia="fr-FR"/>
              </w:rPr>
              <w:t>,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5 %</w:t>
            </w:r>
          </w:p>
        </w:tc>
      </w:tr>
      <w:tr w:rsidR="009747FA" w:rsidRPr="009747FA" w14:paraId="6804E0CE" w14:textId="77777777" w:rsidTr="00416FC1">
        <w:trPr>
          <w:cantSplit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1A8EBA" w14:textId="77777777" w:rsidR="009747FA" w:rsidRPr="009747FA" w:rsidRDefault="009747FA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color w:val="000000"/>
                <w:sz w:val="22"/>
                <w:szCs w:val="22"/>
                <w:lang w:eastAsia="fr-FR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  <w:lang w:eastAsia="fr-FR"/>
              </w:rPr>
              <w:t>měsíc</w:t>
            </w:r>
            <w:proofErr w:type="spellEnd"/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E25AB9" w14:textId="77777777" w:rsidR="009747FA" w:rsidRPr="009747FA" w:rsidRDefault="009747FA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color w:val="000000"/>
                <w:sz w:val="22"/>
                <w:szCs w:val="22"/>
                <w:lang w:eastAsia="fr-FR"/>
              </w:rPr>
              <w:t>87</w:t>
            </w:r>
            <w:r>
              <w:rPr>
                <w:color w:val="000000"/>
                <w:sz w:val="22"/>
                <w:szCs w:val="22"/>
                <w:lang w:eastAsia="fr-FR"/>
              </w:rPr>
              <w:t>,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6</w:t>
            </w:r>
            <w:r>
              <w:rPr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%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BF4D4B" w14:textId="77777777" w:rsidR="009747FA" w:rsidRPr="009747FA" w:rsidRDefault="009747FA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color w:val="000000"/>
                <w:sz w:val="22"/>
                <w:szCs w:val="22"/>
                <w:lang w:eastAsia="fr-FR"/>
              </w:rPr>
              <w:t>2</w:t>
            </w:r>
            <w:r>
              <w:rPr>
                <w:color w:val="000000"/>
                <w:sz w:val="22"/>
                <w:szCs w:val="22"/>
                <w:lang w:eastAsia="fr-FR"/>
              </w:rPr>
              <w:t>,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5</w:t>
            </w:r>
            <w:r>
              <w:rPr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 xml:space="preserve">% </w:t>
            </w:r>
          </w:p>
        </w:tc>
      </w:tr>
      <w:tr w:rsidR="009747FA" w:rsidRPr="009747FA" w14:paraId="5D3C70D2" w14:textId="77777777" w:rsidTr="00416FC1">
        <w:trPr>
          <w:cantSplit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311F45" w14:textId="77777777" w:rsidR="009747FA" w:rsidRPr="009747FA" w:rsidRDefault="009747FA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color w:val="000000"/>
                <w:sz w:val="22"/>
                <w:szCs w:val="22"/>
                <w:lang w:eastAsia="fr-FR"/>
              </w:rPr>
              <w:t xml:space="preserve">2 </w:t>
            </w:r>
            <w:proofErr w:type="spellStart"/>
            <w:r>
              <w:rPr>
                <w:color w:val="000000"/>
                <w:sz w:val="22"/>
                <w:szCs w:val="22"/>
                <w:lang w:eastAsia="fr-FR"/>
              </w:rPr>
              <w:t>měsíc</w:t>
            </w:r>
            <w:r w:rsidR="0052186C">
              <w:rPr>
                <w:color w:val="000000"/>
                <w:sz w:val="22"/>
                <w:szCs w:val="22"/>
                <w:lang w:eastAsia="fr-FR"/>
              </w:rPr>
              <w:t>e</w:t>
            </w:r>
            <w:proofErr w:type="spellEnd"/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D896B23" w14:textId="77777777" w:rsidR="009747FA" w:rsidRPr="009747FA" w:rsidRDefault="009747FA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color w:val="000000"/>
                <w:sz w:val="22"/>
                <w:szCs w:val="22"/>
                <w:lang w:eastAsia="fr-FR"/>
              </w:rPr>
              <w:t>76</w:t>
            </w:r>
            <w:r>
              <w:rPr>
                <w:color w:val="000000"/>
                <w:sz w:val="22"/>
                <w:szCs w:val="22"/>
                <w:lang w:eastAsia="fr-FR"/>
              </w:rPr>
              <w:t>,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8</w:t>
            </w:r>
            <w:r>
              <w:rPr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%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E00C15" w14:textId="77777777" w:rsidR="009747FA" w:rsidRPr="009747FA" w:rsidRDefault="009747FA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color w:val="000000"/>
                <w:sz w:val="22"/>
                <w:szCs w:val="22"/>
                <w:lang w:eastAsia="fr-FR"/>
              </w:rPr>
              <w:t>1</w:t>
            </w:r>
            <w:r>
              <w:rPr>
                <w:color w:val="000000"/>
                <w:sz w:val="22"/>
                <w:szCs w:val="22"/>
                <w:lang w:eastAsia="fr-FR"/>
              </w:rPr>
              <w:t>,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7</w:t>
            </w:r>
            <w:r>
              <w:rPr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%</w:t>
            </w:r>
          </w:p>
        </w:tc>
      </w:tr>
      <w:tr w:rsidR="009747FA" w:rsidRPr="009747FA" w14:paraId="537DC7A5" w14:textId="77777777" w:rsidTr="00416FC1">
        <w:trPr>
          <w:cantSplit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C11768" w14:textId="77777777" w:rsidR="009747FA" w:rsidRPr="009747FA" w:rsidRDefault="009747FA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color w:val="000000"/>
                <w:sz w:val="22"/>
                <w:szCs w:val="22"/>
                <w:lang w:eastAsia="fr-FR"/>
              </w:rPr>
              <w:t xml:space="preserve">3 </w:t>
            </w:r>
            <w:proofErr w:type="spellStart"/>
            <w:r>
              <w:rPr>
                <w:color w:val="000000"/>
                <w:sz w:val="22"/>
                <w:szCs w:val="22"/>
                <w:lang w:eastAsia="fr-FR"/>
              </w:rPr>
              <w:t>měsíc</w:t>
            </w:r>
            <w:r w:rsidR="0052186C">
              <w:rPr>
                <w:color w:val="000000"/>
                <w:sz w:val="22"/>
                <w:szCs w:val="22"/>
                <w:lang w:eastAsia="fr-FR"/>
              </w:rPr>
              <w:t>e</w:t>
            </w:r>
            <w:proofErr w:type="spellEnd"/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ABD8EE" w14:textId="77777777" w:rsidR="009747FA" w:rsidRPr="009747FA" w:rsidRDefault="009747FA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color w:val="000000"/>
                <w:sz w:val="22"/>
                <w:szCs w:val="22"/>
                <w:lang w:eastAsia="fr-FR"/>
              </w:rPr>
              <w:t>57</w:t>
            </w:r>
            <w:r>
              <w:rPr>
                <w:color w:val="000000"/>
                <w:sz w:val="22"/>
                <w:szCs w:val="22"/>
                <w:lang w:eastAsia="fr-FR"/>
              </w:rPr>
              <w:t>,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6</w:t>
            </w:r>
            <w:r>
              <w:rPr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%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AE0EE1" w14:textId="77777777" w:rsidR="009747FA" w:rsidRPr="009747FA" w:rsidRDefault="009747FA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color w:val="000000"/>
                <w:sz w:val="22"/>
                <w:szCs w:val="22"/>
                <w:lang w:eastAsia="fr-FR"/>
              </w:rPr>
              <w:t>1</w:t>
            </w:r>
            <w:r>
              <w:rPr>
                <w:color w:val="000000"/>
                <w:sz w:val="22"/>
                <w:szCs w:val="22"/>
                <w:lang w:eastAsia="fr-FR"/>
              </w:rPr>
              <w:t>,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7</w:t>
            </w:r>
            <w:r>
              <w:rPr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%</w:t>
            </w:r>
          </w:p>
        </w:tc>
      </w:tr>
      <w:tr w:rsidR="009747FA" w:rsidRPr="009747FA" w14:paraId="0D0B0CBD" w14:textId="77777777" w:rsidTr="00416FC1">
        <w:trPr>
          <w:cantSplit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60F32A" w14:textId="77777777" w:rsidR="009747FA" w:rsidRPr="009747FA" w:rsidRDefault="009747FA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color w:val="000000"/>
                <w:sz w:val="22"/>
                <w:szCs w:val="22"/>
                <w:lang w:eastAsia="fr-FR"/>
              </w:rPr>
              <w:t xml:space="preserve">4 </w:t>
            </w:r>
            <w:proofErr w:type="spellStart"/>
            <w:r>
              <w:rPr>
                <w:color w:val="000000"/>
                <w:sz w:val="22"/>
                <w:szCs w:val="22"/>
                <w:lang w:eastAsia="fr-FR"/>
              </w:rPr>
              <w:t>měsíc</w:t>
            </w:r>
            <w:r w:rsidR="0052186C">
              <w:rPr>
                <w:color w:val="000000"/>
                <w:sz w:val="22"/>
                <w:szCs w:val="22"/>
                <w:lang w:eastAsia="fr-FR"/>
              </w:rPr>
              <w:t>e</w:t>
            </w:r>
            <w:proofErr w:type="spellEnd"/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5D4D26" w14:textId="77777777" w:rsidR="009747FA" w:rsidRPr="009747FA" w:rsidRDefault="009747FA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color w:val="000000"/>
                <w:sz w:val="22"/>
                <w:szCs w:val="22"/>
                <w:lang w:eastAsia="fr-FR"/>
              </w:rPr>
              <w:t>36</w:t>
            </w:r>
            <w:r>
              <w:rPr>
                <w:color w:val="000000"/>
                <w:sz w:val="22"/>
                <w:szCs w:val="22"/>
                <w:lang w:eastAsia="fr-FR"/>
              </w:rPr>
              <w:t>,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3 %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65A22B" w14:textId="77777777" w:rsidR="009747FA" w:rsidRPr="009747FA" w:rsidRDefault="009747FA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color w:val="000000"/>
                <w:sz w:val="22"/>
                <w:szCs w:val="22"/>
                <w:lang w:eastAsia="fr-FR"/>
              </w:rPr>
              <w:t>1</w:t>
            </w:r>
            <w:r>
              <w:rPr>
                <w:color w:val="000000"/>
                <w:sz w:val="22"/>
                <w:szCs w:val="22"/>
                <w:lang w:eastAsia="fr-FR"/>
              </w:rPr>
              <w:t>,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8</w:t>
            </w:r>
            <w:r>
              <w:rPr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%</w:t>
            </w:r>
          </w:p>
        </w:tc>
      </w:tr>
      <w:tr w:rsidR="009747FA" w:rsidRPr="009747FA" w14:paraId="30ED9E23" w14:textId="77777777" w:rsidTr="00416FC1">
        <w:trPr>
          <w:cantSplit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F45C37" w14:textId="77777777" w:rsidR="009747FA" w:rsidRPr="009747FA" w:rsidRDefault="009747FA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color w:val="000000"/>
                <w:sz w:val="22"/>
                <w:szCs w:val="22"/>
                <w:lang w:eastAsia="fr-FR"/>
              </w:rPr>
              <w:t xml:space="preserve">5 </w:t>
            </w:r>
            <w:proofErr w:type="spellStart"/>
            <w:r>
              <w:rPr>
                <w:color w:val="000000"/>
                <w:sz w:val="22"/>
                <w:szCs w:val="22"/>
                <w:lang w:eastAsia="fr-FR"/>
              </w:rPr>
              <w:t>měsíců</w:t>
            </w:r>
            <w:proofErr w:type="spellEnd"/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82949A" w14:textId="77777777" w:rsidR="009747FA" w:rsidRPr="009747FA" w:rsidRDefault="009747FA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color w:val="000000"/>
                <w:sz w:val="22"/>
                <w:szCs w:val="22"/>
                <w:lang w:eastAsia="fr-FR"/>
              </w:rPr>
              <w:t>17</w:t>
            </w:r>
            <w:r>
              <w:rPr>
                <w:color w:val="000000"/>
                <w:sz w:val="22"/>
                <w:szCs w:val="22"/>
                <w:lang w:eastAsia="fr-FR"/>
              </w:rPr>
              <w:t>,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5 %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8BC410" w14:textId="77777777" w:rsidR="009747FA" w:rsidRPr="009747FA" w:rsidRDefault="009747FA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color w:val="000000"/>
                <w:sz w:val="22"/>
                <w:szCs w:val="22"/>
                <w:lang w:eastAsia="fr-FR"/>
              </w:rPr>
              <w:t>0</w:t>
            </w:r>
            <w:r>
              <w:rPr>
                <w:color w:val="000000"/>
                <w:sz w:val="22"/>
                <w:szCs w:val="22"/>
                <w:lang w:eastAsia="fr-FR"/>
              </w:rPr>
              <w:t>,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9</w:t>
            </w:r>
            <w:r>
              <w:rPr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%</w:t>
            </w:r>
          </w:p>
        </w:tc>
      </w:tr>
      <w:tr w:rsidR="009747FA" w:rsidRPr="009747FA" w14:paraId="40ED8DAA" w14:textId="77777777" w:rsidTr="00416FC1">
        <w:trPr>
          <w:cantSplit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D8762A" w14:textId="77777777" w:rsidR="009747FA" w:rsidRPr="009747FA" w:rsidRDefault="009747FA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color w:val="000000"/>
                <w:sz w:val="22"/>
                <w:szCs w:val="22"/>
                <w:lang w:eastAsia="fr-FR"/>
              </w:rPr>
              <w:t xml:space="preserve">6 </w:t>
            </w:r>
            <w:proofErr w:type="spellStart"/>
            <w:r>
              <w:rPr>
                <w:color w:val="000000"/>
                <w:sz w:val="22"/>
                <w:szCs w:val="22"/>
                <w:lang w:eastAsia="fr-FR"/>
              </w:rPr>
              <w:t>měsíců</w:t>
            </w:r>
            <w:proofErr w:type="spellEnd"/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39EDBE" w14:textId="77777777" w:rsidR="009747FA" w:rsidRPr="009747FA" w:rsidRDefault="009747FA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color w:val="000000"/>
                <w:sz w:val="22"/>
                <w:szCs w:val="22"/>
                <w:lang w:eastAsia="fr-FR"/>
              </w:rPr>
              <w:t>10</w:t>
            </w:r>
            <w:r>
              <w:rPr>
                <w:color w:val="000000"/>
                <w:sz w:val="22"/>
                <w:szCs w:val="22"/>
                <w:lang w:eastAsia="fr-FR"/>
              </w:rPr>
              <w:t>,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0 %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626C9D" w14:textId="77777777" w:rsidR="009747FA" w:rsidRPr="009747FA" w:rsidRDefault="009747FA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color w:val="000000"/>
                <w:sz w:val="22"/>
                <w:szCs w:val="22"/>
                <w:lang w:eastAsia="fr-FR"/>
              </w:rPr>
              <w:t>0</w:t>
            </w:r>
            <w:r>
              <w:rPr>
                <w:color w:val="000000"/>
                <w:sz w:val="22"/>
                <w:szCs w:val="22"/>
                <w:lang w:eastAsia="fr-FR"/>
              </w:rPr>
              <w:t>,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9</w:t>
            </w:r>
            <w:r>
              <w:rPr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%</w:t>
            </w:r>
          </w:p>
        </w:tc>
      </w:tr>
    </w:tbl>
    <w:p w14:paraId="7460894C" w14:textId="77777777" w:rsidR="009747FA" w:rsidRPr="009747FA" w:rsidRDefault="009747FA" w:rsidP="009747FA">
      <w:pPr>
        <w:pStyle w:val="Normln1"/>
        <w:autoSpaceDE w:val="0"/>
        <w:autoSpaceDN w:val="0"/>
        <w:adjustRightInd w:val="0"/>
        <w:rPr>
          <w:sz w:val="20"/>
        </w:rPr>
      </w:pPr>
      <w:r w:rsidRPr="009747FA">
        <w:rPr>
          <w:sz w:val="20"/>
        </w:rPr>
        <w:t xml:space="preserve">Poznámka: </w:t>
      </w:r>
      <w:proofErr w:type="spellStart"/>
      <w:r>
        <w:rPr>
          <w:sz w:val="20"/>
        </w:rPr>
        <w:t>Respondér</w:t>
      </w:r>
      <w:proofErr w:type="spellEnd"/>
      <w:r w:rsidRPr="009747FA">
        <w:rPr>
          <w:sz w:val="20"/>
        </w:rPr>
        <w:t xml:space="preserve"> je definován jako osoba, která má při výchozím stavu stupeň závažnosti střední nebo závažný a při dané návštěvě </w:t>
      </w:r>
      <w:r>
        <w:rPr>
          <w:sz w:val="20"/>
        </w:rPr>
        <w:t xml:space="preserve">má </w:t>
      </w:r>
      <w:r w:rsidRPr="009747FA">
        <w:rPr>
          <w:sz w:val="20"/>
        </w:rPr>
        <w:t>stupeň závažnosti žádný nebo mírný.</w:t>
      </w:r>
    </w:p>
    <w:p w14:paraId="368020F2" w14:textId="6BB870E4" w:rsidR="009747FA" w:rsidRPr="009747FA" w:rsidRDefault="009747FA" w:rsidP="009747FA">
      <w:pPr>
        <w:pStyle w:val="Normln1"/>
        <w:autoSpaceDE w:val="0"/>
        <w:autoSpaceDN w:val="0"/>
        <w:adjustRightInd w:val="0"/>
        <w:spacing w:line="240" w:lineRule="auto"/>
        <w:rPr>
          <w:sz w:val="20"/>
        </w:rPr>
      </w:pPr>
      <w:r w:rsidRPr="009747FA">
        <w:rPr>
          <w:sz w:val="20"/>
        </w:rPr>
        <w:t>Míra odpověd</w:t>
      </w:r>
      <w:r w:rsidR="003138FE">
        <w:rPr>
          <w:sz w:val="20"/>
        </w:rPr>
        <w:t>i</w:t>
      </w:r>
      <w:r w:rsidRPr="009747FA">
        <w:rPr>
          <w:sz w:val="20"/>
        </w:rPr>
        <w:t>, primární cílový parametr účinnosti ve 29. dni, se statisticky významně lišila od placeba (p</w:t>
      </w:r>
      <w:r>
        <w:rPr>
          <w:sz w:val="20"/>
        </w:rPr>
        <w:t> </w:t>
      </w:r>
      <w:r w:rsidRPr="009747FA">
        <w:rPr>
          <w:sz w:val="20"/>
        </w:rPr>
        <w:t xml:space="preserve">&lt;0,0001). </w:t>
      </w:r>
      <w:r w:rsidR="00F45D3B">
        <w:rPr>
          <w:sz w:val="20"/>
        </w:rPr>
        <w:t>Míry odpovědi</w:t>
      </w:r>
      <w:r w:rsidRPr="009747FA">
        <w:rPr>
          <w:sz w:val="20"/>
        </w:rPr>
        <w:t xml:space="preserve"> v jiných časových bodech se nominálně lišily od placeba (p-hodnoty v rozmezí od </w:t>
      </w:r>
      <w:r w:rsidRPr="009747FA">
        <w:rPr>
          <w:rFonts w:hint="eastAsia"/>
          <w:sz w:val="20"/>
        </w:rPr>
        <w:t>≤</w:t>
      </w:r>
      <w:r w:rsidRPr="009747FA">
        <w:rPr>
          <w:sz w:val="20"/>
        </w:rPr>
        <w:t xml:space="preserve"> 0,0001 do 0,0008).</w:t>
      </w:r>
    </w:p>
    <w:p w14:paraId="6C7CB2F6" w14:textId="77777777" w:rsidR="004F1551" w:rsidRDefault="004F1551" w:rsidP="00204AAB">
      <w:pPr>
        <w:pStyle w:val="Normln1"/>
        <w:autoSpaceDE w:val="0"/>
        <w:autoSpaceDN w:val="0"/>
        <w:adjustRightInd w:val="0"/>
        <w:spacing w:line="240" w:lineRule="auto"/>
        <w:rPr>
          <w:szCs w:val="22"/>
        </w:rPr>
      </w:pPr>
    </w:p>
    <w:p w14:paraId="06EA7969" w14:textId="77777777" w:rsidR="009747FA" w:rsidRDefault="009747FA" w:rsidP="00204AAB">
      <w:pPr>
        <w:pStyle w:val="Normln1"/>
        <w:autoSpaceDE w:val="0"/>
        <w:autoSpaceDN w:val="0"/>
        <w:adjustRightInd w:val="0"/>
        <w:spacing w:line="240" w:lineRule="auto"/>
        <w:rPr>
          <w:szCs w:val="22"/>
        </w:rPr>
      </w:pPr>
      <w:r w:rsidRPr="009747FA">
        <w:rPr>
          <w:szCs w:val="22"/>
        </w:rPr>
        <w:t xml:space="preserve">Podíl </w:t>
      </w:r>
      <w:proofErr w:type="spellStart"/>
      <w:r w:rsidRPr="009747FA">
        <w:rPr>
          <w:szCs w:val="22"/>
        </w:rPr>
        <w:t>respond</w:t>
      </w:r>
      <w:r w:rsidR="0052186C">
        <w:rPr>
          <w:szCs w:val="22"/>
        </w:rPr>
        <w:t>ér</w:t>
      </w:r>
      <w:r w:rsidRPr="009747FA">
        <w:rPr>
          <w:szCs w:val="22"/>
        </w:rPr>
        <w:t>ů</w:t>
      </w:r>
      <w:proofErr w:type="spellEnd"/>
      <w:r w:rsidRPr="009747FA">
        <w:rPr>
          <w:szCs w:val="22"/>
        </w:rPr>
        <w:t xml:space="preserve"> podle sebehodnocení pacientů byl vyšší u pacientů léčených přípravkem </w:t>
      </w:r>
      <w:proofErr w:type="spellStart"/>
      <w:r w:rsidRPr="009747FA">
        <w:rPr>
          <w:szCs w:val="22"/>
        </w:rPr>
        <w:t>Alluzience</w:t>
      </w:r>
      <w:proofErr w:type="spellEnd"/>
      <w:r w:rsidRPr="009747FA">
        <w:rPr>
          <w:szCs w:val="22"/>
        </w:rPr>
        <w:t xml:space="preserve"> ve srovnání s placebem ve všech časových bodech od 8 dnů do 6 měsíců (tabulka 3).</w:t>
      </w:r>
    </w:p>
    <w:p w14:paraId="6C40764D" w14:textId="77777777" w:rsidR="0052186C" w:rsidRDefault="0052186C" w:rsidP="00204AAB">
      <w:pPr>
        <w:pStyle w:val="Normln1"/>
        <w:autoSpaceDE w:val="0"/>
        <w:autoSpaceDN w:val="0"/>
        <w:adjustRightInd w:val="0"/>
        <w:spacing w:line="240" w:lineRule="auto"/>
        <w:rPr>
          <w:szCs w:val="22"/>
        </w:rPr>
      </w:pPr>
    </w:p>
    <w:p w14:paraId="00075AEB" w14:textId="49719AE5" w:rsidR="0052186C" w:rsidRDefault="0052186C" w:rsidP="00204AAB">
      <w:pPr>
        <w:pStyle w:val="Normln1"/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 xml:space="preserve">Tabulka 3: </w:t>
      </w:r>
      <w:proofErr w:type="spellStart"/>
      <w:r w:rsidR="003138FE" w:rsidRPr="002E0DC5">
        <w:rPr>
          <w:i/>
          <w:iCs/>
          <w:szCs w:val="22"/>
        </w:rPr>
        <w:t>Self-assessment</w:t>
      </w:r>
      <w:proofErr w:type="spellEnd"/>
      <w:r w:rsidR="003138FE" w:rsidRPr="0052186C">
        <w:rPr>
          <w:szCs w:val="22"/>
        </w:rPr>
        <w:t xml:space="preserve"> </w:t>
      </w:r>
      <w:proofErr w:type="gramStart"/>
      <w:r w:rsidRPr="0052186C">
        <w:rPr>
          <w:szCs w:val="22"/>
        </w:rPr>
        <w:t>pacienta - míra</w:t>
      </w:r>
      <w:proofErr w:type="gramEnd"/>
      <w:r w:rsidRPr="0052186C">
        <w:rPr>
          <w:szCs w:val="22"/>
        </w:rPr>
        <w:t xml:space="preserve"> odpovědi (%) v různých časových bodech</w:t>
      </w:r>
    </w:p>
    <w:p w14:paraId="35378F10" w14:textId="77777777" w:rsidR="0052186C" w:rsidRDefault="0052186C" w:rsidP="00204AAB">
      <w:pPr>
        <w:pStyle w:val="Normln1"/>
        <w:autoSpaceDE w:val="0"/>
        <w:autoSpaceDN w:val="0"/>
        <w:adjustRightInd w:val="0"/>
        <w:spacing w:line="240" w:lineRule="auto"/>
        <w:rPr>
          <w:szCs w:val="22"/>
        </w:rPr>
      </w:pP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1643"/>
        <w:gridCol w:w="1501"/>
      </w:tblGrid>
      <w:tr w:rsidR="0052186C" w:rsidRPr="009747FA" w14:paraId="74EB2710" w14:textId="77777777" w:rsidTr="00416FC1">
        <w:trPr>
          <w:cantSplit/>
          <w:tblHeader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F781A4D" w14:textId="77777777" w:rsidR="0052186C" w:rsidRPr="009747FA" w:rsidRDefault="0052186C" w:rsidP="00416F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fr-FR"/>
              </w:rPr>
              <w:t>Návštěva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fr-FR"/>
              </w:rPr>
              <w:t xml:space="preserve"> po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fr-FR"/>
              </w:rPr>
              <w:t>injekci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D95DA02" w14:textId="77777777" w:rsidR="0052186C" w:rsidRPr="009747FA" w:rsidRDefault="0052186C" w:rsidP="00416F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9747FA">
              <w:rPr>
                <w:b/>
                <w:bCs/>
                <w:color w:val="000000"/>
                <w:sz w:val="22"/>
                <w:szCs w:val="22"/>
                <w:lang w:eastAsia="fr-FR"/>
              </w:rPr>
              <w:t>Alluzience</w:t>
            </w:r>
            <w:proofErr w:type="spellEnd"/>
            <w:r w:rsidRPr="009747FA">
              <w:rPr>
                <w:b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9747FA">
              <w:rPr>
                <w:b/>
                <w:bCs/>
                <w:color w:val="000000"/>
                <w:sz w:val="22"/>
                <w:szCs w:val="22"/>
                <w:lang w:eastAsia="fr-FR"/>
              </w:rPr>
              <w:br/>
              <w:t>(</w:t>
            </w:r>
            <w:r>
              <w:rPr>
                <w:b/>
                <w:bCs/>
                <w:color w:val="000000"/>
                <w:sz w:val="22"/>
                <w:szCs w:val="22"/>
                <w:lang w:eastAsia="fr-FR"/>
              </w:rPr>
              <w:t>n</w:t>
            </w:r>
            <w:r w:rsidRPr="009747FA">
              <w:rPr>
                <w:b/>
                <w:bCs/>
                <w:color w:val="000000"/>
                <w:sz w:val="22"/>
                <w:szCs w:val="22"/>
                <w:lang w:eastAsia="fr-FR"/>
              </w:rPr>
              <w:t>=250)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8D956FD" w14:textId="77777777" w:rsidR="0052186C" w:rsidRPr="009747FA" w:rsidRDefault="0052186C" w:rsidP="00416F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b/>
                <w:bCs/>
                <w:color w:val="000000"/>
                <w:sz w:val="22"/>
                <w:szCs w:val="22"/>
                <w:lang w:eastAsia="fr-FR"/>
              </w:rPr>
              <w:t>Placebo</w:t>
            </w:r>
            <w:r w:rsidRPr="009747FA">
              <w:rPr>
                <w:b/>
                <w:bCs/>
                <w:color w:val="000000"/>
                <w:sz w:val="22"/>
                <w:szCs w:val="22"/>
                <w:lang w:eastAsia="fr-FR"/>
              </w:rPr>
              <w:br/>
              <w:t>(</w:t>
            </w:r>
            <w:r>
              <w:rPr>
                <w:b/>
                <w:bCs/>
                <w:color w:val="000000"/>
                <w:sz w:val="22"/>
                <w:szCs w:val="22"/>
                <w:lang w:eastAsia="fr-FR"/>
              </w:rPr>
              <w:t>n</w:t>
            </w:r>
            <w:r w:rsidRPr="009747FA">
              <w:rPr>
                <w:b/>
                <w:bCs/>
                <w:color w:val="000000"/>
                <w:sz w:val="22"/>
                <w:szCs w:val="22"/>
                <w:lang w:eastAsia="fr-FR"/>
              </w:rPr>
              <w:t>=122)</w:t>
            </w:r>
          </w:p>
        </w:tc>
      </w:tr>
      <w:tr w:rsidR="0052186C" w:rsidRPr="009747FA" w14:paraId="1ECAD215" w14:textId="77777777" w:rsidTr="00416FC1">
        <w:trPr>
          <w:cantSplit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467404" w14:textId="77777777" w:rsidR="0052186C" w:rsidRPr="009747FA" w:rsidRDefault="0052186C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color w:val="000000"/>
                <w:sz w:val="22"/>
                <w:szCs w:val="22"/>
                <w:lang w:eastAsia="fr-FR"/>
              </w:rPr>
              <w:t xml:space="preserve">8 </w:t>
            </w:r>
            <w:proofErr w:type="spellStart"/>
            <w:r>
              <w:rPr>
                <w:color w:val="000000"/>
                <w:sz w:val="22"/>
                <w:szCs w:val="22"/>
                <w:lang w:eastAsia="fr-FR"/>
              </w:rPr>
              <w:t>dní</w:t>
            </w:r>
            <w:proofErr w:type="spellEnd"/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DDAA2D" w14:textId="77777777" w:rsidR="0052186C" w:rsidRPr="009747FA" w:rsidRDefault="0052186C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color w:val="000000"/>
                <w:sz w:val="22"/>
                <w:szCs w:val="22"/>
                <w:lang w:eastAsia="fr-FR"/>
              </w:rPr>
              <w:t>66,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0</w:t>
            </w:r>
            <w:r>
              <w:rPr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%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D64968" w14:textId="77777777" w:rsidR="0052186C" w:rsidRPr="009747FA" w:rsidRDefault="0052186C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color w:val="000000"/>
                <w:sz w:val="22"/>
                <w:szCs w:val="22"/>
                <w:lang w:eastAsia="fr-FR"/>
              </w:rPr>
              <w:t>4,9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 xml:space="preserve"> %</w:t>
            </w:r>
          </w:p>
        </w:tc>
      </w:tr>
      <w:tr w:rsidR="0052186C" w:rsidRPr="009747FA" w14:paraId="482E2866" w14:textId="77777777" w:rsidTr="00416FC1">
        <w:trPr>
          <w:cantSplit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EA250D" w14:textId="77777777" w:rsidR="0052186C" w:rsidRPr="009747FA" w:rsidRDefault="0052186C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color w:val="000000"/>
                <w:sz w:val="22"/>
                <w:szCs w:val="22"/>
                <w:lang w:eastAsia="fr-FR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  <w:lang w:eastAsia="fr-FR"/>
              </w:rPr>
              <w:t>měsíc</w:t>
            </w:r>
            <w:proofErr w:type="spellEnd"/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9C511E" w14:textId="77777777" w:rsidR="0052186C" w:rsidRPr="009747FA" w:rsidRDefault="0052186C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color w:val="000000"/>
                <w:sz w:val="22"/>
                <w:szCs w:val="22"/>
                <w:lang w:eastAsia="fr-FR"/>
              </w:rPr>
              <w:t xml:space="preserve">76,8 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%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E0CD3C" w14:textId="77777777" w:rsidR="0052186C" w:rsidRPr="009747FA" w:rsidRDefault="0052186C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color w:val="000000"/>
                <w:sz w:val="22"/>
                <w:szCs w:val="22"/>
                <w:lang w:eastAsia="fr-FR"/>
              </w:rPr>
              <w:t>5</w:t>
            </w:r>
            <w:r>
              <w:rPr>
                <w:color w:val="000000"/>
                <w:sz w:val="22"/>
                <w:szCs w:val="22"/>
                <w:lang w:eastAsia="fr-FR"/>
              </w:rPr>
              <w:t xml:space="preserve">,7 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 xml:space="preserve">% </w:t>
            </w:r>
          </w:p>
        </w:tc>
      </w:tr>
      <w:tr w:rsidR="0052186C" w:rsidRPr="009747FA" w14:paraId="7711F39E" w14:textId="77777777" w:rsidTr="00416FC1">
        <w:trPr>
          <w:cantSplit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D0B456" w14:textId="77777777" w:rsidR="0052186C" w:rsidRPr="009747FA" w:rsidRDefault="0052186C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color w:val="000000"/>
                <w:sz w:val="22"/>
                <w:szCs w:val="22"/>
                <w:lang w:eastAsia="fr-FR"/>
              </w:rPr>
              <w:t xml:space="preserve">2 </w:t>
            </w:r>
            <w:proofErr w:type="spellStart"/>
            <w:r>
              <w:rPr>
                <w:color w:val="000000"/>
                <w:sz w:val="22"/>
                <w:szCs w:val="22"/>
                <w:lang w:eastAsia="fr-FR"/>
              </w:rPr>
              <w:t>měsíce</w:t>
            </w:r>
            <w:proofErr w:type="spellEnd"/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A31492" w14:textId="77777777" w:rsidR="0052186C" w:rsidRPr="009747FA" w:rsidRDefault="0052186C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color w:val="000000"/>
                <w:sz w:val="22"/>
                <w:szCs w:val="22"/>
                <w:lang w:eastAsia="fr-FR"/>
              </w:rPr>
              <w:t>7</w:t>
            </w:r>
            <w:r>
              <w:rPr>
                <w:color w:val="000000"/>
                <w:sz w:val="22"/>
                <w:szCs w:val="22"/>
                <w:lang w:eastAsia="fr-FR"/>
              </w:rPr>
              <w:t xml:space="preserve">2,4 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%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D58E9E7" w14:textId="77777777" w:rsidR="0052186C" w:rsidRPr="009747FA" w:rsidRDefault="0052186C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color w:val="000000"/>
                <w:sz w:val="22"/>
                <w:szCs w:val="22"/>
                <w:lang w:eastAsia="fr-FR"/>
              </w:rPr>
              <w:t xml:space="preserve">2,5 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%</w:t>
            </w:r>
          </w:p>
        </w:tc>
      </w:tr>
      <w:tr w:rsidR="0052186C" w:rsidRPr="009747FA" w14:paraId="00486366" w14:textId="77777777" w:rsidTr="00416FC1">
        <w:trPr>
          <w:cantSplit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BBF727" w14:textId="77777777" w:rsidR="0052186C" w:rsidRPr="009747FA" w:rsidRDefault="0052186C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color w:val="000000"/>
                <w:sz w:val="22"/>
                <w:szCs w:val="22"/>
                <w:lang w:eastAsia="fr-FR"/>
              </w:rPr>
              <w:t xml:space="preserve">3 </w:t>
            </w:r>
            <w:proofErr w:type="spellStart"/>
            <w:r>
              <w:rPr>
                <w:color w:val="000000"/>
                <w:sz w:val="22"/>
                <w:szCs w:val="22"/>
                <w:lang w:eastAsia="fr-FR"/>
              </w:rPr>
              <w:t>měsíce</w:t>
            </w:r>
            <w:proofErr w:type="spellEnd"/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05454B" w14:textId="77777777" w:rsidR="0052186C" w:rsidRPr="009747FA" w:rsidRDefault="0052186C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color w:val="000000"/>
                <w:sz w:val="22"/>
                <w:szCs w:val="22"/>
                <w:lang w:eastAsia="fr-FR"/>
              </w:rPr>
              <w:t xml:space="preserve">48,8 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%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403BF2" w14:textId="77777777" w:rsidR="0052186C" w:rsidRPr="009747FA" w:rsidRDefault="0052186C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color w:val="000000"/>
                <w:sz w:val="22"/>
                <w:szCs w:val="22"/>
                <w:lang w:eastAsia="fr-FR"/>
              </w:rPr>
              <w:t xml:space="preserve">3,4 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%</w:t>
            </w:r>
          </w:p>
        </w:tc>
      </w:tr>
      <w:tr w:rsidR="0052186C" w:rsidRPr="009747FA" w14:paraId="542B429E" w14:textId="77777777" w:rsidTr="00416FC1">
        <w:trPr>
          <w:cantSplit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19E12C" w14:textId="77777777" w:rsidR="0052186C" w:rsidRPr="009747FA" w:rsidRDefault="0052186C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color w:val="000000"/>
                <w:sz w:val="22"/>
                <w:szCs w:val="22"/>
                <w:lang w:eastAsia="fr-FR"/>
              </w:rPr>
              <w:t xml:space="preserve">4 </w:t>
            </w:r>
            <w:proofErr w:type="spellStart"/>
            <w:r>
              <w:rPr>
                <w:color w:val="000000"/>
                <w:sz w:val="22"/>
                <w:szCs w:val="22"/>
                <w:lang w:eastAsia="fr-FR"/>
              </w:rPr>
              <w:t>měsíce</w:t>
            </w:r>
            <w:proofErr w:type="spellEnd"/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FE039C4" w14:textId="77777777" w:rsidR="0052186C" w:rsidRPr="009747FA" w:rsidRDefault="0052186C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color w:val="000000"/>
                <w:sz w:val="22"/>
                <w:szCs w:val="22"/>
                <w:lang w:eastAsia="fr-FR"/>
              </w:rPr>
              <w:t>3</w:t>
            </w:r>
            <w:r>
              <w:rPr>
                <w:color w:val="000000"/>
                <w:sz w:val="22"/>
                <w:szCs w:val="22"/>
                <w:lang w:eastAsia="fr-FR"/>
              </w:rPr>
              <w:t>2,7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 xml:space="preserve"> %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14E1E7" w14:textId="77777777" w:rsidR="0052186C" w:rsidRPr="009747FA" w:rsidRDefault="0052186C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color w:val="000000"/>
                <w:sz w:val="22"/>
                <w:szCs w:val="22"/>
                <w:lang w:eastAsia="fr-FR"/>
              </w:rPr>
              <w:t xml:space="preserve">4,3 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%</w:t>
            </w:r>
          </w:p>
        </w:tc>
      </w:tr>
      <w:tr w:rsidR="0052186C" w:rsidRPr="009747FA" w14:paraId="2D501259" w14:textId="77777777" w:rsidTr="00416FC1">
        <w:trPr>
          <w:cantSplit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AA7903A" w14:textId="77777777" w:rsidR="0052186C" w:rsidRPr="009747FA" w:rsidRDefault="0052186C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color w:val="000000"/>
                <w:sz w:val="22"/>
                <w:szCs w:val="22"/>
                <w:lang w:eastAsia="fr-FR"/>
              </w:rPr>
              <w:t xml:space="preserve">5 </w:t>
            </w:r>
            <w:proofErr w:type="spellStart"/>
            <w:r>
              <w:rPr>
                <w:color w:val="000000"/>
                <w:sz w:val="22"/>
                <w:szCs w:val="22"/>
                <w:lang w:eastAsia="fr-FR"/>
              </w:rPr>
              <w:t>měsíců</w:t>
            </w:r>
            <w:proofErr w:type="spellEnd"/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54B8F8" w14:textId="77777777" w:rsidR="0052186C" w:rsidRPr="009747FA" w:rsidRDefault="0052186C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color w:val="000000"/>
                <w:sz w:val="22"/>
                <w:szCs w:val="22"/>
                <w:lang w:eastAsia="fr-FR"/>
              </w:rPr>
              <w:t>23,1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 xml:space="preserve"> %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48C8E7" w14:textId="77777777" w:rsidR="0052186C" w:rsidRPr="009747FA" w:rsidRDefault="0052186C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color w:val="000000"/>
                <w:sz w:val="22"/>
                <w:szCs w:val="22"/>
                <w:lang w:eastAsia="fr-FR"/>
              </w:rPr>
              <w:t xml:space="preserve">4,3 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%</w:t>
            </w:r>
          </w:p>
        </w:tc>
      </w:tr>
      <w:tr w:rsidR="0052186C" w:rsidRPr="009747FA" w14:paraId="425472D9" w14:textId="77777777" w:rsidTr="00416FC1">
        <w:trPr>
          <w:cantSplit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3DC9E4B" w14:textId="77777777" w:rsidR="0052186C" w:rsidRPr="009747FA" w:rsidRDefault="0052186C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color w:val="000000"/>
                <w:sz w:val="22"/>
                <w:szCs w:val="22"/>
                <w:lang w:eastAsia="fr-FR"/>
              </w:rPr>
              <w:t xml:space="preserve">6 </w:t>
            </w:r>
            <w:proofErr w:type="spellStart"/>
            <w:r>
              <w:rPr>
                <w:color w:val="000000"/>
                <w:sz w:val="22"/>
                <w:szCs w:val="22"/>
                <w:lang w:eastAsia="fr-FR"/>
              </w:rPr>
              <w:t>měsíců</w:t>
            </w:r>
            <w:proofErr w:type="spellEnd"/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B1ABC3" w14:textId="77777777" w:rsidR="0052186C" w:rsidRPr="009747FA" w:rsidRDefault="0052186C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 w:rsidRPr="009747FA">
              <w:rPr>
                <w:color w:val="000000"/>
                <w:sz w:val="22"/>
                <w:szCs w:val="22"/>
                <w:lang w:eastAsia="fr-FR"/>
              </w:rPr>
              <w:t>1</w:t>
            </w:r>
            <w:r>
              <w:rPr>
                <w:color w:val="000000"/>
                <w:sz w:val="22"/>
                <w:szCs w:val="22"/>
                <w:lang w:eastAsia="fr-FR"/>
              </w:rPr>
              <w:t>5,1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 xml:space="preserve"> %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17563E" w14:textId="77777777" w:rsidR="0052186C" w:rsidRPr="009747FA" w:rsidRDefault="0052186C" w:rsidP="00416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color w:val="000000"/>
                <w:sz w:val="22"/>
                <w:szCs w:val="22"/>
                <w:lang w:eastAsia="fr-FR"/>
              </w:rPr>
              <w:t xml:space="preserve">2,6 </w:t>
            </w:r>
            <w:r w:rsidRPr="009747FA">
              <w:rPr>
                <w:color w:val="000000"/>
                <w:sz w:val="22"/>
                <w:szCs w:val="22"/>
                <w:lang w:eastAsia="fr-FR"/>
              </w:rPr>
              <w:t>%</w:t>
            </w:r>
          </w:p>
        </w:tc>
      </w:tr>
    </w:tbl>
    <w:p w14:paraId="3CC6BF01" w14:textId="77777777" w:rsidR="0052186C" w:rsidRPr="009747FA" w:rsidRDefault="0052186C" w:rsidP="0052186C">
      <w:pPr>
        <w:pStyle w:val="Normln1"/>
        <w:autoSpaceDE w:val="0"/>
        <w:autoSpaceDN w:val="0"/>
        <w:adjustRightInd w:val="0"/>
        <w:rPr>
          <w:sz w:val="20"/>
        </w:rPr>
      </w:pPr>
      <w:r w:rsidRPr="009747FA">
        <w:rPr>
          <w:sz w:val="20"/>
        </w:rPr>
        <w:t xml:space="preserve">Poznámka: </w:t>
      </w:r>
      <w:proofErr w:type="spellStart"/>
      <w:r>
        <w:rPr>
          <w:sz w:val="20"/>
        </w:rPr>
        <w:t>Respondér</w:t>
      </w:r>
      <w:proofErr w:type="spellEnd"/>
      <w:r w:rsidRPr="009747FA">
        <w:rPr>
          <w:sz w:val="20"/>
        </w:rPr>
        <w:t xml:space="preserve"> je definován jako osoba, která má při výchozím stavu stupeň závažnosti střední nebo závažný a při dané návštěvě </w:t>
      </w:r>
      <w:r>
        <w:rPr>
          <w:sz w:val="20"/>
        </w:rPr>
        <w:t xml:space="preserve">má </w:t>
      </w:r>
      <w:r w:rsidRPr="009747FA">
        <w:rPr>
          <w:sz w:val="20"/>
        </w:rPr>
        <w:t>stupeň závažnosti žádný nebo mírný.</w:t>
      </w:r>
    </w:p>
    <w:p w14:paraId="2F9A70D7" w14:textId="77777777" w:rsidR="0052186C" w:rsidRPr="009747FA" w:rsidRDefault="0052186C" w:rsidP="0052186C">
      <w:pPr>
        <w:pStyle w:val="Normln1"/>
        <w:autoSpaceDE w:val="0"/>
        <w:autoSpaceDN w:val="0"/>
        <w:adjustRightInd w:val="0"/>
        <w:spacing w:line="240" w:lineRule="auto"/>
        <w:rPr>
          <w:sz w:val="20"/>
        </w:rPr>
      </w:pPr>
      <w:r w:rsidRPr="009747FA">
        <w:rPr>
          <w:sz w:val="20"/>
        </w:rPr>
        <w:lastRenderedPageBreak/>
        <w:t>Mír</w:t>
      </w:r>
      <w:r>
        <w:rPr>
          <w:sz w:val="20"/>
        </w:rPr>
        <w:t>y</w:t>
      </w:r>
      <w:r w:rsidRPr="009747FA">
        <w:rPr>
          <w:sz w:val="20"/>
        </w:rPr>
        <w:t xml:space="preserve"> odpovědí se nominálně lišily od placeba</w:t>
      </w:r>
      <w:r>
        <w:rPr>
          <w:sz w:val="20"/>
        </w:rPr>
        <w:t>,</w:t>
      </w:r>
      <w:r w:rsidRPr="009747FA">
        <w:rPr>
          <w:sz w:val="20"/>
        </w:rPr>
        <w:t xml:space="preserve"> p-hodnot </w:t>
      </w:r>
      <w:r>
        <w:rPr>
          <w:sz w:val="20"/>
        </w:rPr>
        <w:t xml:space="preserve">byla ve všech časových bodech </w:t>
      </w:r>
      <w:r w:rsidRPr="009747FA">
        <w:rPr>
          <w:rFonts w:hint="eastAsia"/>
          <w:sz w:val="20"/>
        </w:rPr>
        <w:t>≤</w:t>
      </w:r>
      <w:r w:rsidRPr="009747FA">
        <w:rPr>
          <w:sz w:val="20"/>
        </w:rPr>
        <w:t xml:space="preserve"> 0,0001.</w:t>
      </w:r>
    </w:p>
    <w:p w14:paraId="52E7BC06" w14:textId="10020820" w:rsidR="0052186C" w:rsidRDefault="0052186C" w:rsidP="00204AAB">
      <w:pPr>
        <w:pStyle w:val="Normln1"/>
        <w:autoSpaceDE w:val="0"/>
        <w:autoSpaceDN w:val="0"/>
        <w:adjustRightInd w:val="0"/>
        <w:spacing w:line="240" w:lineRule="auto"/>
        <w:rPr>
          <w:szCs w:val="22"/>
        </w:rPr>
      </w:pPr>
    </w:p>
    <w:p w14:paraId="1654F731" w14:textId="77F40295" w:rsidR="00E636DC" w:rsidRPr="00E636DC" w:rsidRDefault="00E636DC" w:rsidP="00E636DC">
      <w:pPr>
        <w:pStyle w:val="Normln1"/>
        <w:autoSpaceDE w:val="0"/>
        <w:autoSpaceDN w:val="0"/>
        <w:adjustRightInd w:val="0"/>
        <w:rPr>
          <w:szCs w:val="22"/>
        </w:rPr>
      </w:pPr>
      <w:r w:rsidRPr="00E636DC">
        <w:rPr>
          <w:szCs w:val="22"/>
        </w:rPr>
        <w:t>Úroveň spokojenosti pacientů 1 měsíc po injekci ukázala, že 85,2</w:t>
      </w:r>
      <w:r w:rsidR="001D3DDB">
        <w:rPr>
          <w:szCs w:val="22"/>
        </w:rPr>
        <w:t xml:space="preserve"> </w:t>
      </w:r>
      <w:r w:rsidRPr="00E636DC">
        <w:rPr>
          <w:szCs w:val="22"/>
        </w:rPr>
        <w:t xml:space="preserve">% pacientů </w:t>
      </w:r>
      <w:r w:rsidR="00A94DC6">
        <w:rPr>
          <w:szCs w:val="22"/>
        </w:rPr>
        <w:t>po použití</w:t>
      </w:r>
      <w:r w:rsidRPr="00E636DC">
        <w:rPr>
          <w:szCs w:val="22"/>
        </w:rPr>
        <w:t xml:space="preserve"> </w:t>
      </w:r>
      <w:proofErr w:type="spellStart"/>
      <w:r w:rsidRPr="00E636DC">
        <w:rPr>
          <w:szCs w:val="22"/>
        </w:rPr>
        <w:t>Alluzience</w:t>
      </w:r>
      <w:proofErr w:type="spellEnd"/>
      <w:r w:rsidRPr="00E636DC">
        <w:rPr>
          <w:szCs w:val="22"/>
        </w:rPr>
        <w:t xml:space="preserve"> bylo buď spokojeno, nebo velmi spokojeno</w:t>
      </w:r>
      <w:r w:rsidR="00A94DC6">
        <w:rPr>
          <w:szCs w:val="22"/>
        </w:rPr>
        <w:t>,</w:t>
      </w:r>
      <w:r w:rsidRPr="00E636DC">
        <w:rPr>
          <w:szCs w:val="22"/>
        </w:rPr>
        <w:t xml:space="preserve"> v</w:t>
      </w:r>
      <w:r w:rsidR="007C119F">
        <w:rPr>
          <w:szCs w:val="22"/>
        </w:rPr>
        <w:t>e</w:t>
      </w:r>
      <w:r w:rsidRPr="00E636DC">
        <w:rPr>
          <w:szCs w:val="22"/>
        </w:rPr>
        <w:t xml:space="preserve"> </w:t>
      </w:r>
      <w:r w:rsidR="007C119F">
        <w:rPr>
          <w:szCs w:val="22"/>
        </w:rPr>
        <w:t>s</w:t>
      </w:r>
      <w:r w:rsidR="00A94DC6">
        <w:rPr>
          <w:szCs w:val="22"/>
        </w:rPr>
        <w:t>rovnání</w:t>
      </w:r>
      <w:r w:rsidRPr="00E636DC">
        <w:rPr>
          <w:szCs w:val="22"/>
        </w:rPr>
        <w:t xml:space="preserve"> s</w:t>
      </w:r>
      <w:r w:rsidR="00A94DC6">
        <w:rPr>
          <w:szCs w:val="22"/>
        </w:rPr>
        <w:t> </w:t>
      </w:r>
      <w:r w:rsidRPr="00E636DC">
        <w:rPr>
          <w:szCs w:val="22"/>
        </w:rPr>
        <w:t>9</w:t>
      </w:r>
      <w:r w:rsidR="00A94DC6">
        <w:rPr>
          <w:szCs w:val="22"/>
        </w:rPr>
        <w:t xml:space="preserve"> </w:t>
      </w:r>
      <w:r w:rsidRPr="00E636DC">
        <w:rPr>
          <w:szCs w:val="22"/>
        </w:rPr>
        <w:t xml:space="preserve">% pacientů </w:t>
      </w:r>
      <w:r w:rsidR="0098144E">
        <w:rPr>
          <w:szCs w:val="22"/>
        </w:rPr>
        <w:t>léčených</w:t>
      </w:r>
      <w:r w:rsidRPr="00E636DC">
        <w:rPr>
          <w:szCs w:val="22"/>
        </w:rPr>
        <w:t xml:space="preserve"> placebem.</w:t>
      </w:r>
    </w:p>
    <w:p w14:paraId="549BC347" w14:textId="77777777" w:rsidR="00E636DC" w:rsidRPr="00E636DC" w:rsidRDefault="00E636DC" w:rsidP="00E636DC">
      <w:pPr>
        <w:pStyle w:val="Normln1"/>
        <w:autoSpaceDE w:val="0"/>
        <w:autoSpaceDN w:val="0"/>
        <w:adjustRightInd w:val="0"/>
        <w:rPr>
          <w:szCs w:val="22"/>
        </w:rPr>
      </w:pPr>
    </w:p>
    <w:p w14:paraId="769F68A3" w14:textId="4C3B8986" w:rsidR="00E636DC" w:rsidRPr="00E636DC" w:rsidRDefault="00E636DC" w:rsidP="00E636DC">
      <w:pPr>
        <w:pStyle w:val="Normln1"/>
        <w:autoSpaceDE w:val="0"/>
        <w:autoSpaceDN w:val="0"/>
        <w:adjustRightInd w:val="0"/>
        <w:rPr>
          <w:szCs w:val="22"/>
        </w:rPr>
      </w:pPr>
      <w:r w:rsidRPr="00E636DC">
        <w:rPr>
          <w:szCs w:val="22"/>
        </w:rPr>
        <w:t xml:space="preserve">Estetické a psychologické zlepšení bylo </w:t>
      </w:r>
      <w:r w:rsidR="00EB2C5F">
        <w:rPr>
          <w:szCs w:val="22"/>
        </w:rPr>
        <w:t>sledováno</w:t>
      </w:r>
      <w:r w:rsidRPr="00E636DC">
        <w:rPr>
          <w:szCs w:val="22"/>
        </w:rPr>
        <w:t xml:space="preserve"> pomocí stupnic Face-Q. Pro </w:t>
      </w:r>
      <w:r w:rsidR="008A7AC3" w:rsidRPr="00E636DC">
        <w:rPr>
          <w:szCs w:val="22"/>
        </w:rPr>
        <w:t xml:space="preserve">stupnici </w:t>
      </w:r>
      <w:r w:rsidRPr="00E636DC">
        <w:rPr>
          <w:szCs w:val="22"/>
        </w:rPr>
        <w:t>celkov</w:t>
      </w:r>
      <w:r w:rsidR="008A7AC3">
        <w:rPr>
          <w:szCs w:val="22"/>
        </w:rPr>
        <w:t>ého</w:t>
      </w:r>
      <w:r w:rsidRPr="00E636DC">
        <w:rPr>
          <w:szCs w:val="22"/>
        </w:rPr>
        <w:t xml:space="preserve"> vzhledu obličeje (</w:t>
      </w:r>
      <w:r w:rsidRPr="002E0DC5">
        <w:rPr>
          <w:szCs w:val="22"/>
        </w:rPr>
        <w:t xml:space="preserve">která zahrnuje hodnocení subjektů pro </w:t>
      </w:r>
      <w:r w:rsidR="003138FE" w:rsidRPr="002E0DC5">
        <w:rPr>
          <w:szCs w:val="22"/>
        </w:rPr>
        <w:t>souměrnost tváře</w:t>
      </w:r>
      <w:r w:rsidRPr="002E0DC5">
        <w:rPr>
          <w:szCs w:val="22"/>
        </w:rPr>
        <w:t xml:space="preserve">, vzhled na konci dne, svěžest obličeje, </w:t>
      </w:r>
      <w:r w:rsidR="003138FE" w:rsidRPr="002E0DC5">
        <w:rPr>
          <w:szCs w:val="22"/>
        </w:rPr>
        <w:t>odpočatý vzhled</w:t>
      </w:r>
      <w:r w:rsidRPr="002E0DC5">
        <w:rPr>
          <w:szCs w:val="22"/>
        </w:rPr>
        <w:t xml:space="preserve">, vzhled při probuzení a vzhled pod </w:t>
      </w:r>
      <w:r w:rsidR="003138FE" w:rsidRPr="002E0DC5">
        <w:rPr>
          <w:szCs w:val="22"/>
        </w:rPr>
        <w:t>ostrým světlem</w:t>
      </w:r>
      <w:r w:rsidRPr="002E0DC5">
        <w:rPr>
          <w:szCs w:val="22"/>
        </w:rPr>
        <w:t>) a stupnici psychologické pohody (která zahrnuje hodnocení subjektu podle pocitu</w:t>
      </w:r>
      <w:r w:rsidR="006D5C58" w:rsidRPr="002E0DC5">
        <w:rPr>
          <w:szCs w:val="22"/>
        </w:rPr>
        <w:t>,</w:t>
      </w:r>
      <w:r w:rsidR="00772860" w:rsidRPr="002E0DC5">
        <w:rPr>
          <w:szCs w:val="22"/>
        </w:rPr>
        <w:t xml:space="preserve"> </w:t>
      </w:r>
      <w:r w:rsidR="006D5C58" w:rsidRPr="002E0DC5">
        <w:rPr>
          <w:szCs w:val="22"/>
        </w:rPr>
        <w:t xml:space="preserve">že se </w:t>
      </w:r>
      <w:r w:rsidR="00772860" w:rsidRPr="002E0DC5">
        <w:rPr>
          <w:szCs w:val="22"/>
        </w:rPr>
        <w:t>cítím dobře</w:t>
      </w:r>
      <w:r w:rsidRPr="002E0DC5">
        <w:rPr>
          <w:szCs w:val="22"/>
        </w:rPr>
        <w:t xml:space="preserve">, sebepřijetí, </w:t>
      </w:r>
      <w:r w:rsidR="00183076" w:rsidRPr="002E0DC5">
        <w:rPr>
          <w:szCs w:val="22"/>
        </w:rPr>
        <w:t>pocit komfortu</w:t>
      </w:r>
      <w:r w:rsidRPr="002E0DC5">
        <w:rPr>
          <w:szCs w:val="22"/>
        </w:rPr>
        <w:t xml:space="preserve"> </w:t>
      </w:r>
      <w:r w:rsidR="00427F81" w:rsidRPr="002E0DC5">
        <w:rPr>
          <w:szCs w:val="22"/>
        </w:rPr>
        <w:t xml:space="preserve">sám </w:t>
      </w:r>
      <w:r w:rsidRPr="002E0DC5">
        <w:rPr>
          <w:szCs w:val="22"/>
        </w:rPr>
        <w:t xml:space="preserve">se sebou, </w:t>
      </w:r>
      <w:r w:rsidR="00351010" w:rsidRPr="002E0DC5">
        <w:rPr>
          <w:szCs w:val="22"/>
        </w:rPr>
        <w:t>pocit, že se sám(a) sobě líbím</w:t>
      </w:r>
      <w:r w:rsidRPr="002E0DC5">
        <w:rPr>
          <w:szCs w:val="22"/>
        </w:rPr>
        <w:t xml:space="preserve">, pocit štěstí, pocit přitažlivosti a </w:t>
      </w:r>
      <w:r w:rsidR="006D5C58" w:rsidRPr="002E0DC5">
        <w:rPr>
          <w:szCs w:val="22"/>
        </w:rPr>
        <w:t xml:space="preserve">pocit </w:t>
      </w:r>
      <w:r w:rsidRPr="002E0DC5">
        <w:rPr>
          <w:szCs w:val="22"/>
        </w:rPr>
        <w:t>sebevědomí)</w:t>
      </w:r>
      <w:r w:rsidRPr="00E636DC">
        <w:rPr>
          <w:szCs w:val="22"/>
        </w:rPr>
        <w:t xml:space="preserve"> měsíc po injekci vykazoval</w:t>
      </w:r>
      <w:r w:rsidR="006D5C58">
        <w:rPr>
          <w:szCs w:val="22"/>
        </w:rPr>
        <w:t>i</w:t>
      </w:r>
      <w:r w:rsidRPr="00E636DC">
        <w:rPr>
          <w:szCs w:val="22"/>
        </w:rPr>
        <w:t xml:space="preserve"> </w:t>
      </w:r>
      <w:r w:rsidR="006D5C58">
        <w:rPr>
          <w:szCs w:val="22"/>
        </w:rPr>
        <w:t>pacienti</w:t>
      </w:r>
      <w:r w:rsidRPr="00E636DC">
        <w:rPr>
          <w:szCs w:val="22"/>
        </w:rPr>
        <w:t xml:space="preserve"> léčen</w:t>
      </w:r>
      <w:r w:rsidR="006D5C58">
        <w:rPr>
          <w:szCs w:val="22"/>
        </w:rPr>
        <w:t>í</w:t>
      </w:r>
      <w:r w:rsidRPr="00E636DC">
        <w:rPr>
          <w:szCs w:val="22"/>
        </w:rPr>
        <w:t xml:space="preserve"> přípravkem </w:t>
      </w:r>
      <w:proofErr w:type="spellStart"/>
      <w:r w:rsidRPr="00E636DC">
        <w:rPr>
          <w:szCs w:val="22"/>
        </w:rPr>
        <w:t>Alluzience</w:t>
      </w:r>
      <w:proofErr w:type="spellEnd"/>
      <w:r w:rsidRPr="00E636DC">
        <w:rPr>
          <w:szCs w:val="22"/>
        </w:rPr>
        <w:t xml:space="preserve"> zlepšení skóre pro každou z těchto stupnic ve srovnání s</w:t>
      </w:r>
      <w:r w:rsidR="00E13F3D">
        <w:rPr>
          <w:szCs w:val="22"/>
        </w:rPr>
        <w:t> pacienty,</w:t>
      </w:r>
      <w:r w:rsidRPr="00E636DC">
        <w:rPr>
          <w:szCs w:val="22"/>
        </w:rPr>
        <w:t xml:space="preserve"> kteří byli léčeni placebem (nomináln</w:t>
      </w:r>
      <w:r w:rsidR="00E13F3D">
        <w:rPr>
          <w:szCs w:val="22"/>
        </w:rPr>
        <w:t>í hodnota</w:t>
      </w:r>
      <w:r w:rsidRPr="00E636DC">
        <w:rPr>
          <w:szCs w:val="22"/>
        </w:rPr>
        <w:t xml:space="preserve"> p</w:t>
      </w:r>
      <w:r w:rsidR="00E13F3D">
        <w:rPr>
          <w:szCs w:val="22"/>
        </w:rPr>
        <w:t> </w:t>
      </w:r>
      <w:r w:rsidRPr="00E636DC">
        <w:rPr>
          <w:szCs w:val="22"/>
        </w:rPr>
        <w:t>&lt;</w:t>
      </w:r>
      <w:r w:rsidR="00E13F3D">
        <w:rPr>
          <w:szCs w:val="22"/>
        </w:rPr>
        <w:t> </w:t>
      </w:r>
      <w:r w:rsidRPr="00E636DC">
        <w:rPr>
          <w:szCs w:val="22"/>
        </w:rPr>
        <w:t>0,0001).</w:t>
      </w:r>
    </w:p>
    <w:p w14:paraId="5C7E19FE" w14:textId="77777777" w:rsidR="00E636DC" w:rsidRPr="00E636DC" w:rsidRDefault="00E636DC" w:rsidP="00E636DC">
      <w:pPr>
        <w:pStyle w:val="Normln1"/>
        <w:autoSpaceDE w:val="0"/>
        <w:autoSpaceDN w:val="0"/>
        <w:adjustRightInd w:val="0"/>
        <w:rPr>
          <w:szCs w:val="22"/>
        </w:rPr>
      </w:pPr>
    </w:p>
    <w:p w14:paraId="6CB80AF3" w14:textId="39BCCE95" w:rsidR="00E636DC" w:rsidRPr="00E636DC" w:rsidRDefault="00E636DC" w:rsidP="00E636DC">
      <w:pPr>
        <w:pStyle w:val="Normln1"/>
        <w:autoSpaceDE w:val="0"/>
        <w:autoSpaceDN w:val="0"/>
        <w:adjustRightInd w:val="0"/>
        <w:rPr>
          <w:szCs w:val="22"/>
        </w:rPr>
      </w:pPr>
      <w:r w:rsidRPr="00E636DC">
        <w:rPr>
          <w:szCs w:val="22"/>
        </w:rPr>
        <w:t xml:space="preserve">V dlouhodobé otevřené studii fáze III </w:t>
      </w:r>
      <w:proofErr w:type="spellStart"/>
      <w:r w:rsidR="00EA3EC5">
        <w:rPr>
          <w:szCs w:val="22"/>
        </w:rPr>
        <w:t>travající</w:t>
      </w:r>
      <w:proofErr w:type="spellEnd"/>
      <w:r w:rsidR="003B2BD0">
        <w:rPr>
          <w:szCs w:val="22"/>
        </w:rPr>
        <w:t xml:space="preserve"> </w:t>
      </w:r>
      <w:r w:rsidR="00EA3EC5" w:rsidRPr="00E636DC">
        <w:rPr>
          <w:szCs w:val="22"/>
        </w:rPr>
        <w:t>12</w:t>
      </w:r>
      <w:r w:rsidR="003B2BD0">
        <w:rPr>
          <w:szCs w:val="22"/>
        </w:rPr>
        <w:t xml:space="preserve"> </w:t>
      </w:r>
      <w:r w:rsidR="00EA3EC5" w:rsidRPr="00E636DC">
        <w:rPr>
          <w:szCs w:val="22"/>
        </w:rPr>
        <w:t>měsí</w:t>
      </w:r>
      <w:r w:rsidR="003B2BD0">
        <w:rPr>
          <w:szCs w:val="22"/>
        </w:rPr>
        <w:t>ců</w:t>
      </w:r>
      <w:r w:rsidR="00EA3EC5" w:rsidRPr="00E636DC">
        <w:rPr>
          <w:szCs w:val="22"/>
        </w:rPr>
        <w:t xml:space="preserve"> </w:t>
      </w:r>
      <w:r w:rsidRPr="00E636DC">
        <w:rPr>
          <w:szCs w:val="22"/>
        </w:rPr>
        <w:t xml:space="preserve">dostalo celkem 595 pacientů až 5 léčebných cyklů </w:t>
      </w:r>
      <w:r w:rsidR="003B2BD0">
        <w:rPr>
          <w:szCs w:val="22"/>
        </w:rPr>
        <w:t xml:space="preserve">s přípravkem </w:t>
      </w:r>
      <w:proofErr w:type="spellStart"/>
      <w:r w:rsidRPr="00E636DC">
        <w:rPr>
          <w:szCs w:val="22"/>
        </w:rPr>
        <w:t>Alluzience</w:t>
      </w:r>
      <w:proofErr w:type="spellEnd"/>
      <w:r w:rsidRPr="00E636DC">
        <w:rPr>
          <w:szCs w:val="22"/>
        </w:rPr>
        <w:t xml:space="preserve">. </w:t>
      </w:r>
      <w:r w:rsidR="009834A9">
        <w:rPr>
          <w:szCs w:val="22"/>
        </w:rPr>
        <w:t>P</w:t>
      </w:r>
      <w:r w:rsidRPr="00E636DC">
        <w:rPr>
          <w:szCs w:val="22"/>
        </w:rPr>
        <w:t xml:space="preserve">odle hodnocení zkoušejícího, hodnocení pacientů, </w:t>
      </w:r>
      <w:r w:rsidR="00E20EEB" w:rsidRPr="00E636DC">
        <w:rPr>
          <w:szCs w:val="22"/>
        </w:rPr>
        <w:t>spokojenosti pacientů</w:t>
      </w:r>
      <w:r w:rsidR="00E20EEB">
        <w:rPr>
          <w:szCs w:val="22"/>
        </w:rPr>
        <w:t xml:space="preserve"> a</w:t>
      </w:r>
      <w:r w:rsidRPr="00E636DC">
        <w:rPr>
          <w:szCs w:val="22"/>
        </w:rPr>
        <w:t xml:space="preserve"> </w:t>
      </w:r>
      <w:r w:rsidR="005F0230" w:rsidRPr="00E636DC">
        <w:rPr>
          <w:szCs w:val="22"/>
        </w:rPr>
        <w:t>dotazníků</w:t>
      </w:r>
      <w:r w:rsidR="005F0230">
        <w:rPr>
          <w:szCs w:val="22"/>
        </w:rPr>
        <w:t xml:space="preserve"> </w:t>
      </w:r>
      <w:r w:rsidRPr="00E636DC">
        <w:rPr>
          <w:szCs w:val="22"/>
        </w:rPr>
        <w:t>FACE-Q</w:t>
      </w:r>
      <w:r w:rsidR="009834A9">
        <w:rPr>
          <w:szCs w:val="22"/>
        </w:rPr>
        <w:t xml:space="preserve"> </w:t>
      </w:r>
      <w:r w:rsidR="00E20EEB">
        <w:rPr>
          <w:szCs w:val="22"/>
        </w:rPr>
        <w:t>se ú</w:t>
      </w:r>
      <w:r w:rsidR="009834A9" w:rsidRPr="00E636DC">
        <w:rPr>
          <w:szCs w:val="22"/>
        </w:rPr>
        <w:t>činnost udrž</w:t>
      </w:r>
      <w:r w:rsidR="009834A9">
        <w:rPr>
          <w:szCs w:val="22"/>
        </w:rPr>
        <w:t>ela</w:t>
      </w:r>
      <w:r w:rsidR="009834A9" w:rsidRPr="00E636DC">
        <w:rPr>
          <w:szCs w:val="22"/>
        </w:rPr>
        <w:t xml:space="preserve"> po dobu 12 měsíců</w:t>
      </w:r>
      <w:r w:rsidRPr="00E636DC">
        <w:rPr>
          <w:szCs w:val="22"/>
        </w:rPr>
        <w:t>.</w:t>
      </w:r>
    </w:p>
    <w:p w14:paraId="6B88F8C5" w14:textId="77777777" w:rsidR="00E636DC" w:rsidRPr="00E636DC" w:rsidRDefault="00E636DC" w:rsidP="00E636DC">
      <w:pPr>
        <w:pStyle w:val="Normln1"/>
        <w:autoSpaceDE w:val="0"/>
        <w:autoSpaceDN w:val="0"/>
        <w:adjustRightInd w:val="0"/>
        <w:rPr>
          <w:szCs w:val="22"/>
        </w:rPr>
      </w:pPr>
    </w:p>
    <w:p w14:paraId="00BC9E5F" w14:textId="27737724" w:rsidR="00E636DC" w:rsidRPr="00E636DC" w:rsidRDefault="00E636DC" w:rsidP="00E636DC">
      <w:pPr>
        <w:pStyle w:val="Normln1"/>
        <w:autoSpaceDE w:val="0"/>
        <w:autoSpaceDN w:val="0"/>
        <w:adjustRightInd w:val="0"/>
        <w:rPr>
          <w:szCs w:val="22"/>
        </w:rPr>
      </w:pPr>
      <w:r w:rsidRPr="00E636DC">
        <w:rPr>
          <w:szCs w:val="22"/>
        </w:rPr>
        <w:t xml:space="preserve">Podíl </w:t>
      </w:r>
      <w:proofErr w:type="spellStart"/>
      <w:r w:rsidRPr="00E636DC">
        <w:rPr>
          <w:szCs w:val="22"/>
        </w:rPr>
        <w:t>respond</w:t>
      </w:r>
      <w:r w:rsidR="004E487C">
        <w:rPr>
          <w:szCs w:val="22"/>
        </w:rPr>
        <w:t>ér</w:t>
      </w:r>
      <w:r w:rsidRPr="00E636DC">
        <w:rPr>
          <w:szCs w:val="22"/>
        </w:rPr>
        <w:t>ů</w:t>
      </w:r>
      <w:proofErr w:type="spellEnd"/>
      <w:r w:rsidRPr="00E636DC">
        <w:rPr>
          <w:szCs w:val="22"/>
        </w:rPr>
        <w:t xml:space="preserve"> při maximálním zamračení stanovený </w:t>
      </w:r>
      <w:r w:rsidR="009147CD">
        <w:rPr>
          <w:szCs w:val="22"/>
        </w:rPr>
        <w:t>hodnotitelem</w:t>
      </w:r>
      <w:r w:rsidRPr="00E636DC">
        <w:rPr>
          <w:szCs w:val="22"/>
        </w:rPr>
        <w:t xml:space="preserve"> 1 měsíc po injekci </w:t>
      </w:r>
      <w:r w:rsidR="00E137CB">
        <w:rPr>
          <w:szCs w:val="22"/>
        </w:rPr>
        <w:t xml:space="preserve">přetrvával během </w:t>
      </w:r>
      <w:r w:rsidR="00B03052">
        <w:rPr>
          <w:szCs w:val="22"/>
        </w:rPr>
        <w:t>opakovaných injekčních cyklů</w:t>
      </w:r>
      <w:r w:rsidR="00F92888">
        <w:rPr>
          <w:szCs w:val="22"/>
        </w:rPr>
        <w:t xml:space="preserve"> </w:t>
      </w:r>
      <w:r w:rsidRPr="00E636DC">
        <w:rPr>
          <w:szCs w:val="22"/>
        </w:rPr>
        <w:t>(mezi 82,2</w:t>
      </w:r>
      <w:r w:rsidR="00025FFB">
        <w:rPr>
          <w:szCs w:val="22"/>
        </w:rPr>
        <w:t xml:space="preserve"> </w:t>
      </w:r>
      <w:r w:rsidRPr="00E636DC">
        <w:rPr>
          <w:szCs w:val="22"/>
        </w:rPr>
        <w:t>% a 87,8</w:t>
      </w:r>
      <w:r w:rsidR="00025FFB">
        <w:rPr>
          <w:szCs w:val="22"/>
        </w:rPr>
        <w:t xml:space="preserve"> </w:t>
      </w:r>
      <w:r w:rsidRPr="00E636DC">
        <w:rPr>
          <w:szCs w:val="22"/>
        </w:rPr>
        <w:t xml:space="preserve">%). Odpovídající </w:t>
      </w:r>
      <w:r w:rsidR="002C69DF">
        <w:rPr>
          <w:szCs w:val="22"/>
        </w:rPr>
        <w:t>podíly</w:t>
      </w:r>
      <w:r w:rsidRPr="00E636DC">
        <w:rPr>
          <w:szCs w:val="22"/>
        </w:rPr>
        <w:t xml:space="preserve"> 3 měsíce po injekci se pohybovaly mezi 45,3</w:t>
      </w:r>
      <w:r w:rsidR="002C69DF">
        <w:rPr>
          <w:szCs w:val="22"/>
        </w:rPr>
        <w:t xml:space="preserve"> </w:t>
      </w:r>
      <w:r w:rsidRPr="00E636DC">
        <w:rPr>
          <w:szCs w:val="22"/>
        </w:rPr>
        <w:t>% a 56,8</w:t>
      </w:r>
      <w:r w:rsidR="002C69DF">
        <w:rPr>
          <w:szCs w:val="22"/>
        </w:rPr>
        <w:t xml:space="preserve"> </w:t>
      </w:r>
      <w:r w:rsidRPr="00E636DC">
        <w:rPr>
          <w:szCs w:val="22"/>
        </w:rPr>
        <w:t xml:space="preserve">% </w:t>
      </w:r>
      <w:r w:rsidR="00121976">
        <w:rPr>
          <w:szCs w:val="22"/>
        </w:rPr>
        <w:t>v průběhu</w:t>
      </w:r>
      <w:r w:rsidRPr="00E636DC">
        <w:rPr>
          <w:szCs w:val="22"/>
        </w:rPr>
        <w:t xml:space="preserve"> 5 léčebných cyklů.</w:t>
      </w:r>
    </w:p>
    <w:p w14:paraId="5F145F47" w14:textId="77777777" w:rsidR="00E636DC" w:rsidRPr="00E636DC" w:rsidRDefault="00E636DC" w:rsidP="00E636DC">
      <w:pPr>
        <w:pStyle w:val="Normln1"/>
        <w:autoSpaceDE w:val="0"/>
        <w:autoSpaceDN w:val="0"/>
        <w:adjustRightInd w:val="0"/>
        <w:rPr>
          <w:szCs w:val="22"/>
        </w:rPr>
      </w:pPr>
    </w:p>
    <w:p w14:paraId="38FE7D81" w14:textId="2B980C8C" w:rsidR="00D848D5" w:rsidRDefault="00E636DC" w:rsidP="00E636DC">
      <w:pPr>
        <w:pStyle w:val="Normln1"/>
        <w:autoSpaceDE w:val="0"/>
        <w:autoSpaceDN w:val="0"/>
        <w:adjustRightInd w:val="0"/>
        <w:spacing w:line="240" w:lineRule="auto"/>
        <w:rPr>
          <w:szCs w:val="22"/>
        </w:rPr>
      </w:pPr>
      <w:r w:rsidRPr="00E636DC">
        <w:rPr>
          <w:szCs w:val="22"/>
        </w:rPr>
        <w:t xml:space="preserve">Pacienti (celkem 595), kteří dostávali </w:t>
      </w:r>
      <w:proofErr w:type="spellStart"/>
      <w:r w:rsidRPr="00E636DC">
        <w:rPr>
          <w:szCs w:val="22"/>
        </w:rPr>
        <w:t>Alluzience</w:t>
      </w:r>
      <w:proofErr w:type="spellEnd"/>
      <w:r w:rsidRPr="00E636DC">
        <w:rPr>
          <w:szCs w:val="22"/>
        </w:rPr>
        <w:t xml:space="preserve"> po dobu 12 měsíců, byli testováni na tvorbu protilátek. Žádní pacienti nebyli pozitivně testováni na protilátky neutralizující toxiny.</w:t>
      </w:r>
    </w:p>
    <w:p w14:paraId="22555F99" w14:textId="40413BBC" w:rsidR="00D848D5" w:rsidRDefault="00D848D5" w:rsidP="00204AAB">
      <w:pPr>
        <w:pStyle w:val="Normln1"/>
        <w:autoSpaceDE w:val="0"/>
        <w:autoSpaceDN w:val="0"/>
        <w:adjustRightInd w:val="0"/>
        <w:spacing w:line="240" w:lineRule="auto"/>
        <w:rPr>
          <w:szCs w:val="22"/>
        </w:rPr>
      </w:pPr>
    </w:p>
    <w:p w14:paraId="7DE062FA" w14:textId="77777777" w:rsidR="00812D16" w:rsidRPr="00EB595B" w:rsidRDefault="001E3814" w:rsidP="00AD7832">
      <w:pPr>
        <w:pStyle w:val="Normln1"/>
        <w:keepNext/>
        <w:numPr>
          <w:ilvl w:val="1"/>
          <w:numId w:val="1"/>
        </w:numPr>
        <w:spacing w:line="240" w:lineRule="auto"/>
        <w:outlineLvl w:val="0"/>
        <w:rPr>
          <w:b/>
          <w:noProof/>
          <w:szCs w:val="22"/>
        </w:rPr>
      </w:pPr>
      <w:r>
        <w:rPr>
          <w:b/>
          <w:noProof/>
        </w:rPr>
        <w:t>Farmakokinetické vlastnosti</w:t>
      </w:r>
    </w:p>
    <w:p w14:paraId="24421A64" w14:textId="6BD6E97A" w:rsidR="00812D16" w:rsidRDefault="00812D16" w:rsidP="0056212D">
      <w:pPr>
        <w:pStyle w:val="Normln1"/>
        <w:keepNext/>
        <w:spacing w:line="240" w:lineRule="auto"/>
        <w:ind w:left="567" w:hanging="567"/>
        <w:outlineLvl w:val="0"/>
        <w:rPr>
          <w:noProof/>
          <w:szCs w:val="22"/>
        </w:rPr>
      </w:pPr>
    </w:p>
    <w:p w14:paraId="2EC7D625" w14:textId="7D811C41" w:rsidR="009044C9" w:rsidRPr="009044C9" w:rsidRDefault="009044C9" w:rsidP="009044C9">
      <w:pPr>
        <w:pStyle w:val="Normln1"/>
        <w:keepNext/>
        <w:tabs>
          <w:tab w:val="clear" w:pos="567"/>
        </w:tabs>
        <w:spacing w:line="240" w:lineRule="auto"/>
        <w:outlineLvl w:val="0"/>
        <w:rPr>
          <w:noProof/>
          <w:szCs w:val="22"/>
        </w:rPr>
      </w:pPr>
      <w:r w:rsidRPr="009044C9">
        <w:rPr>
          <w:noProof/>
          <w:szCs w:val="22"/>
        </w:rPr>
        <w:t xml:space="preserve">Neočekává se, že by byl </w:t>
      </w:r>
      <w:r>
        <w:rPr>
          <w:noProof/>
          <w:szCs w:val="22"/>
        </w:rPr>
        <w:t xml:space="preserve">přípravek </w:t>
      </w:r>
      <w:proofErr w:type="spellStart"/>
      <w:r w:rsidRPr="00E636DC">
        <w:rPr>
          <w:szCs w:val="22"/>
        </w:rPr>
        <w:t>Alluzience</w:t>
      </w:r>
      <w:proofErr w:type="spellEnd"/>
      <w:r w:rsidRPr="00E636DC">
        <w:rPr>
          <w:szCs w:val="22"/>
        </w:rPr>
        <w:t xml:space="preserve"> </w:t>
      </w:r>
      <w:r w:rsidRPr="009044C9">
        <w:rPr>
          <w:noProof/>
          <w:szCs w:val="22"/>
        </w:rPr>
        <w:t>po i.m. podání v doporučené dávce přítomen v periferní krvi v měřitelných hladinách. Z tohoto důvodu nebyly farmakokinetické studie provedeny.</w:t>
      </w:r>
    </w:p>
    <w:p w14:paraId="5643DC49" w14:textId="77777777" w:rsidR="00812D16" w:rsidRPr="00157895" w:rsidRDefault="00812D16" w:rsidP="00204AAB">
      <w:pPr>
        <w:pStyle w:val="Normln1"/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</w:p>
    <w:p w14:paraId="0466BDEE" w14:textId="77777777" w:rsidR="00812D16" w:rsidRPr="001F6423" w:rsidRDefault="001E3814" w:rsidP="00AD7832">
      <w:pPr>
        <w:pStyle w:val="Normln1"/>
        <w:keepNext/>
        <w:numPr>
          <w:ilvl w:val="1"/>
          <w:numId w:val="1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Předklinické údaje vztahující se k bezpečnosti</w:t>
      </w:r>
    </w:p>
    <w:p w14:paraId="74910C07" w14:textId="77777777" w:rsidR="00812D16" w:rsidRPr="001F6423" w:rsidRDefault="00812D16" w:rsidP="0056212D">
      <w:pPr>
        <w:pStyle w:val="Normln1"/>
        <w:keepNext/>
        <w:spacing w:line="240" w:lineRule="auto"/>
        <w:rPr>
          <w:noProof/>
          <w:szCs w:val="22"/>
        </w:rPr>
      </w:pPr>
    </w:p>
    <w:p w14:paraId="45D2DC24" w14:textId="43743094" w:rsidR="003B3608" w:rsidRDefault="003B3608" w:rsidP="003B3608">
      <w:pPr>
        <w:pStyle w:val="Normln1"/>
      </w:pPr>
      <w:r>
        <w:t>V reprodukčních studiích na potkanech a králících byl</w:t>
      </w:r>
      <w:r w:rsidR="007553E4">
        <w:t>a</w:t>
      </w:r>
      <w:r>
        <w:t xml:space="preserve"> </w:t>
      </w:r>
      <w:r w:rsidR="007553E4">
        <w:t xml:space="preserve">při vysokých dávkách </w:t>
      </w:r>
      <w:r>
        <w:t>pozorován</w:t>
      </w:r>
      <w:r w:rsidR="007553E4">
        <w:t>a</w:t>
      </w:r>
      <w:r>
        <w:t xml:space="preserve"> závažn</w:t>
      </w:r>
      <w:r w:rsidR="007553E4">
        <w:t>á</w:t>
      </w:r>
      <w:r>
        <w:t xml:space="preserve"> </w:t>
      </w:r>
      <w:proofErr w:type="spellStart"/>
      <w:r>
        <w:t>maternální</w:t>
      </w:r>
      <w:proofErr w:type="spellEnd"/>
      <w:r>
        <w:t xml:space="preserve"> toxicit</w:t>
      </w:r>
      <w:r w:rsidR="007553E4">
        <w:t>a</w:t>
      </w:r>
      <w:r>
        <w:t xml:space="preserve"> spojen</w:t>
      </w:r>
      <w:r w:rsidR="007553E4">
        <w:t>á</w:t>
      </w:r>
      <w:r>
        <w:t xml:space="preserve"> s</w:t>
      </w:r>
      <w:r w:rsidR="00947B0C">
        <w:t xml:space="preserve"> implantační </w:t>
      </w:r>
      <w:r>
        <w:t xml:space="preserve">ztrátou. V dávkách odpovídajících 60 až </w:t>
      </w:r>
      <w:proofErr w:type="gramStart"/>
      <w:r>
        <w:t>100-násobku</w:t>
      </w:r>
      <w:proofErr w:type="gramEnd"/>
      <w:r>
        <w:t xml:space="preserve"> doporučené dávky pro člověka (</w:t>
      </w:r>
      <w:r w:rsidRPr="008F375A">
        <w:t xml:space="preserve">50 </w:t>
      </w:r>
      <w:r w:rsidR="006A727C" w:rsidRPr="008F375A">
        <w:t>S</w:t>
      </w:r>
      <w:r w:rsidRPr="008F375A">
        <w:t>U</w:t>
      </w:r>
      <w:r>
        <w:t xml:space="preserve">) u králíků a potkanů nebyla pozorována žádná embryonální toxicita. Žádná teratogenní aktivita nebyla u těchto druhů pozorována. U potkanů byla fertilita samců a samic snížena v důsledku sníženého páření </w:t>
      </w:r>
      <w:r w:rsidR="00BE1E9C">
        <w:t>sekundárně vzniklého při</w:t>
      </w:r>
      <w:r>
        <w:t xml:space="preserve"> svalové paralýz</w:t>
      </w:r>
      <w:r w:rsidR="00BE1E9C">
        <w:t>e</w:t>
      </w:r>
      <w:r>
        <w:t xml:space="preserve"> při vysokých dávkách.</w:t>
      </w:r>
    </w:p>
    <w:p w14:paraId="37F5E274" w14:textId="77777777" w:rsidR="00BE1E9C" w:rsidRDefault="00BE1E9C" w:rsidP="003B3608">
      <w:pPr>
        <w:pStyle w:val="Normln1"/>
      </w:pPr>
    </w:p>
    <w:p w14:paraId="4554375B" w14:textId="13AE72F4" w:rsidR="003B3608" w:rsidRDefault="003B3608" w:rsidP="003B3608">
      <w:pPr>
        <w:pStyle w:val="Normln1"/>
      </w:pPr>
      <w:r>
        <w:t>Ve studiích chronické toxicity provedených na potkanech nebyly žádné náznaky systémové toxicity v</w:t>
      </w:r>
      <w:r w:rsidR="00A345C2">
        <w:t> </w:t>
      </w:r>
      <w:r>
        <w:t xml:space="preserve">dávkách odpovídajících </w:t>
      </w:r>
      <w:proofErr w:type="gramStart"/>
      <w:r>
        <w:t>75-násobku</w:t>
      </w:r>
      <w:proofErr w:type="gramEnd"/>
      <w:r>
        <w:t xml:space="preserve"> doporučené dávky </w:t>
      </w:r>
      <w:r w:rsidR="00A345C2">
        <w:t xml:space="preserve">pro člověka </w:t>
      </w:r>
      <w:r>
        <w:t>(</w:t>
      </w:r>
      <w:r w:rsidRPr="008F375A">
        <w:t xml:space="preserve">50 </w:t>
      </w:r>
      <w:r w:rsidR="00A345C2" w:rsidRPr="008F375A">
        <w:t>S</w:t>
      </w:r>
      <w:r w:rsidRPr="008F375A">
        <w:t>U</w:t>
      </w:r>
      <w:r>
        <w:t xml:space="preserve">) rozdělené stejnou měrou mezi pravý a levý m. </w:t>
      </w:r>
      <w:proofErr w:type="spellStart"/>
      <w:r>
        <w:t>gluteus</w:t>
      </w:r>
      <w:proofErr w:type="spellEnd"/>
      <w:r>
        <w:t>.</w:t>
      </w:r>
    </w:p>
    <w:p w14:paraId="7B348108" w14:textId="77777777" w:rsidR="00A45C35" w:rsidRDefault="00A45C35" w:rsidP="003B3608">
      <w:pPr>
        <w:pStyle w:val="Normln1"/>
        <w:spacing w:line="240" w:lineRule="auto"/>
      </w:pPr>
    </w:p>
    <w:p w14:paraId="7986ABD9" w14:textId="2AE912BA" w:rsidR="003B3608" w:rsidRDefault="003B3608" w:rsidP="003B3608">
      <w:pPr>
        <w:pStyle w:val="Normln1"/>
        <w:spacing w:line="240" w:lineRule="auto"/>
      </w:pPr>
      <w:r>
        <w:t xml:space="preserve">Studie akutní toxicity, chronické toxicity a lokální tolerance v místě podání neukázaly </w:t>
      </w:r>
      <w:r w:rsidR="00D0380E">
        <w:t xml:space="preserve">žádné </w:t>
      </w:r>
      <w:r>
        <w:t>neobvyklé nežádoucí lokální nebo systémové účinky v klinicky relevantních dávkách.</w:t>
      </w:r>
    </w:p>
    <w:p w14:paraId="24D5A71C" w14:textId="77777777" w:rsidR="003B3608" w:rsidRDefault="003B3608" w:rsidP="003B3608">
      <w:pPr>
        <w:pStyle w:val="Normln1"/>
        <w:spacing w:line="240" w:lineRule="auto"/>
      </w:pPr>
    </w:p>
    <w:p w14:paraId="1A911B0D" w14:textId="037D79BC" w:rsidR="00812D16" w:rsidRPr="006B4557" w:rsidRDefault="001E3814" w:rsidP="00204AAB">
      <w:pPr>
        <w:pStyle w:val="Normln1"/>
        <w:spacing w:line="240" w:lineRule="auto"/>
        <w:rPr>
          <w:noProof/>
          <w:szCs w:val="22"/>
          <w:u w:val="single"/>
        </w:rPr>
      </w:pPr>
      <w:r>
        <w:rPr>
          <w:noProof/>
          <w:u w:val="single"/>
        </w:rPr>
        <w:t>Posouzení rizika pro životní prostředí</w:t>
      </w:r>
    </w:p>
    <w:p w14:paraId="4BC76ED5" w14:textId="77E9AD49" w:rsidR="00812D16" w:rsidRPr="006B4557" w:rsidRDefault="00B349B1" w:rsidP="00204AAB">
      <w:pPr>
        <w:pStyle w:val="Normln1"/>
        <w:spacing w:line="240" w:lineRule="auto"/>
        <w:rPr>
          <w:noProof/>
          <w:szCs w:val="22"/>
        </w:rPr>
      </w:pPr>
      <w:r>
        <w:rPr>
          <w:noProof/>
          <w:szCs w:val="22"/>
        </w:rPr>
        <w:t xml:space="preserve">Přípravek </w:t>
      </w:r>
      <w:r w:rsidRPr="00B349B1">
        <w:rPr>
          <w:noProof/>
          <w:szCs w:val="22"/>
        </w:rPr>
        <w:t>Alluzience pravděpodobně nepředstavuje riziko pro životní prostředí.</w:t>
      </w:r>
    </w:p>
    <w:p w14:paraId="3CF3B08F" w14:textId="619697A5" w:rsidR="00812D16" w:rsidRDefault="00812D16" w:rsidP="00204AAB">
      <w:pPr>
        <w:pStyle w:val="Normln1"/>
        <w:spacing w:line="240" w:lineRule="auto"/>
        <w:rPr>
          <w:noProof/>
          <w:szCs w:val="22"/>
        </w:rPr>
      </w:pPr>
    </w:p>
    <w:p w14:paraId="6944773F" w14:textId="77777777" w:rsidR="00DE051A" w:rsidRPr="006B4557" w:rsidRDefault="00DE051A" w:rsidP="00204AAB">
      <w:pPr>
        <w:pStyle w:val="Normln1"/>
        <w:spacing w:line="240" w:lineRule="auto"/>
        <w:rPr>
          <w:noProof/>
          <w:szCs w:val="22"/>
        </w:rPr>
      </w:pPr>
    </w:p>
    <w:p w14:paraId="6BC93F6E" w14:textId="77777777" w:rsidR="00812D16" w:rsidRPr="006B4557" w:rsidRDefault="001E3814" w:rsidP="00AD7832">
      <w:pPr>
        <w:pStyle w:val="Normln1"/>
        <w:keepNext/>
        <w:numPr>
          <w:ilvl w:val="0"/>
          <w:numId w:val="1"/>
        </w:numPr>
        <w:suppressAutoHyphens/>
        <w:spacing w:line="240" w:lineRule="auto"/>
        <w:rPr>
          <w:b/>
          <w:noProof/>
          <w:szCs w:val="22"/>
        </w:rPr>
      </w:pPr>
      <w:r>
        <w:rPr>
          <w:b/>
          <w:noProof/>
        </w:rPr>
        <w:lastRenderedPageBreak/>
        <w:t>FARMACEUTICKÉ ÚDAJE</w:t>
      </w:r>
    </w:p>
    <w:p w14:paraId="229344DE" w14:textId="77777777" w:rsidR="00812D16" w:rsidRPr="006B4557" w:rsidRDefault="00812D16" w:rsidP="0056212D">
      <w:pPr>
        <w:pStyle w:val="Normln1"/>
        <w:keepNext/>
        <w:spacing w:line="240" w:lineRule="auto"/>
        <w:rPr>
          <w:noProof/>
          <w:szCs w:val="22"/>
        </w:rPr>
      </w:pPr>
    </w:p>
    <w:p w14:paraId="06C5AD54" w14:textId="77777777" w:rsidR="00812D16" w:rsidRPr="006B4557" w:rsidRDefault="001E3814" w:rsidP="00AD7832">
      <w:pPr>
        <w:pStyle w:val="Normln1"/>
        <w:keepNext/>
        <w:numPr>
          <w:ilvl w:val="1"/>
          <w:numId w:val="1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Seznam pomocných látek</w:t>
      </w:r>
    </w:p>
    <w:p w14:paraId="6897173A" w14:textId="77777777" w:rsidR="00812D16" w:rsidRPr="006B4557" w:rsidRDefault="00812D16" w:rsidP="0056212D">
      <w:pPr>
        <w:pStyle w:val="Normln1"/>
        <w:keepNext/>
        <w:spacing w:line="240" w:lineRule="auto"/>
        <w:rPr>
          <w:i/>
          <w:noProof/>
          <w:szCs w:val="22"/>
        </w:rPr>
      </w:pPr>
    </w:p>
    <w:p w14:paraId="13932C73" w14:textId="3BC91019" w:rsidR="001A3D70" w:rsidRDefault="001A3D70" w:rsidP="001A3D70">
      <w:pPr>
        <w:pStyle w:val="Normln1"/>
      </w:pPr>
      <w:r>
        <w:t>L-histidin</w:t>
      </w:r>
    </w:p>
    <w:p w14:paraId="101CE1D1" w14:textId="13018F3A" w:rsidR="001A3D70" w:rsidRDefault="001A3D70" w:rsidP="001A3D70">
      <w:pPr>
        <w:pStyle w:val="Normln1"/>
      </w:pPr>
      <w:proofErr w:type="spellStart"/>
      <w:r>
        <w:t>S</w:t>
      </w:r>
      <w:r w:rsidR="006100E7">
        <w:t>acharosa</w:t>
      </w:r>
      <w:proofErr w:type="spellEnd"/>
    </w:p>
    <w:p w14:paraId="3F0FBE95" w14:textId="28E96F46" w:rsidR="001A3D70" w:rsidRDefault="006100E7" w:rsidP="001A3D70">
      <w:pPr>
        <w:pStyle w:val="Normln1"/>
      </w:pPr>
      <w:r>
        <w:t>C</w:t>
      </w:r>
      <w:r w:rsidR="001A3D70">
        <w:t>hlorid</w:t>
      </w:r>
      <w:r>
        <w:t xml:space="preserve"> sodný</w:t>
      </w:r>
    </w:p>
    <w:p w14:paraId="5A0F21AF" w14:textId="076DC10B" w:rsidR="001A3D70" w:rsidRDefault="001A3D70" w:rsidP="001A3D70">
      <w:pPr>
        <w:pStyle w:val="Normln1"/>
      </w:pPr>
      <w:proofErr w:type="spellStart"/>
      <w:r>
        <w:t>Polysorb</w:t>
      </w:r>
      <w:r w:rsidR="006100E7">
        <w:t>át</w:t>
      </w:r>
      <w:proofErr w:type="spellEnd"/>
      <w:r>
        <w:t xml:space="preserve"> 80</w:t>
      </w:r>
    </w:p>
    <w:p w14:paraId="118C2253" w14:textId="59CEEFFF" w:rsidR="001A3D70" w:rsidRDefault="006100E7" w:rsidP="001A3D70">
      <w:pPr>
        <w:pStyle w:val="Normln1"/>
      </w:pPr>
      <w:r>
        <w:t>Kyselina chlorovodíková</w:t>
      </w:r>
      <w:r w:rsidR="001A3D70">
        <w:t xml:space="preserve"> </w:t>
      </w:r>
      <w:r>
        <w:t>pro úpravu</w:t>
      </w:r>
      <w:r w:rsidR="001A3D70">
        <w:t xml:space="preserve"> pH </w:t>
      </w:r>
    </w:p>
    <w:p w14:paraId="0762F041" w14:textId="0267ACBE" w:rsidR="00812D16" w:rsidRPr="006B4557" w:rsidRDefault="006100E7" w:rsidP="001A3D70">
      <w:pPr>
        <w:pStyle w:val="Normln1"/>
        <w:spacing w:line="240" w:lineRule="auto"/>
        <w:rPr>
          <w:noProof/>
          <w:szCs w:val="22"/>
        </w:rPr>
      </w:pPr>
      <w:r>
        <w:t xml:space="preserve">Voda </w:t>
      </w:r>
      <w:r w:rsidRPr="006B6306">
        <w:t>pro</w:t>
      </w:r>
      <w:r>
        <w:t xml:space="preserve"> injekci</w:t>
      </w:r>
    </w:p>
    <w:p w14:paraId="79A79B77" w14:textId="77777777" w:rsidR="00812D16" w:rsidRPr="006B4557" w:rsidRDefault="00812D16" w:rsidP="00204AAB">
      <w:pPr>
        <w:pStyle w:val="Normln1"/>
        <w:spacing w:line="240" w:lineRule="auto"/>
        <w:rPr>
          <w:noProof/>
          <w:szCs w:val="22"/>
        </w:rPr>
      </w:pPr>
    </w:p>
    <w:p w14:paraId="2E042ABA" w14:textId="77777777" w:rsidR="00812D16" w:rsidRPr="006B4557" w:rsidRDefault="001E3814" w:rsidP="00AD7832">
      <w:pPr>
        <w:pStyle w:val="Normln1"/>
        <w:keepNext/>
        <w:numPr>
          <w:ilvl w:val="1"/>
          <w:numId w:val="1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Inkompatibility</w:t>
      </w:r>
    </w:p>
    <w:p w14:paraId="70E7FD34" w14:textId="77777777" w:rsidR="00812D16" w:rsidRPr="006B4557" w:rsidRDefault="00812D16" w:rsidP="0056212D">
      <w:pPr>
        <w:pStyle w:val="Normln1"/>
        <w:keepNext/>
        <w:spacing w:line="240" w:lineRule="auto"/>
        <w:rPr>
          <w:noProof/>
          <w:szCs w:val="22"/>
        </w:rPr>
      </w:pPr>
    </w:p>
    <w:p w14:paraId="1B4DB760" w14:textId="6B93B435" w:rsidR="00812D16" w:rsidRPr="006B4557" w:rsidRDefault="001E3814" w:rsidP="00204AAB">
      <w:pPr>
        <w:pStyle w:val="Normln1"/>
        <w:spacing w:line="240" w:lineRule="auto"/>
        <w:rPr>
          <w:noProof/>
          <w:szCs w:val="22"/>
        </w:rPr>
      </w:pPr>
      <w:r>
        <w:t>Tento léčivý přípravek nesmí být mísen s jinými léčivými přípravky.</w:t>
      </w:r>
    </w:p>
    <w:p w14:paraId="0F8097F3" w14:textId="77777777" w:rsidR="00812D16" w:rsidRPr="006B4557" w:rsidRDefault="00812D16" w:rsidP="00204AAB">
      <w:pPr>
        <w:pStyle w:val="Normln1"/>
        <w:spacing w:line="240" w:lineRule="auto"/>
        <w:rPr>
          <w:noProof/>
          <w:szCs w:val="22"/>
        </w:rPr>
      </w:pPr>
    </w:p>
    <w:p w14:paraId="5351EFFC" w14:textId="77777777" w:rsidR="00812D16" w:rsidRPr="006B4557" w:rsidRDefault="001E3814" w:rsidP="00AD7832">
      <w:pPr>
        <w:pStyle w:val="Normln1"/>
        <w:keepNext/>
        <w:numPr>
          <w:ilvl w:val="1"/>
          <w:numId w:val="1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Doba použitelnosti</w:t>
      </w:r>
    </w:p>
    <w:p w14:paraId="097084EB" w14:textId="77777777" w:rsidR="00812D16" w:rsidRPr="006B4557" w:rsidRDefault="00812D16" w:rsidP="0056212D">
      <w:pPr>
        <w:pStyle w:val="Normln1"/>
        <w:keepNext/>
        <w:spacing w:line="240" w:lineRule="auto"/>
        <w:rPr>
          <w:noProof/>
          <w:szCs w:val="22"/>
        </w:rPr>
      </w:pPr>
    </w:p>
    <w:p w14:paraId="3CA7F434" w14:textId="6BC39F03" w:rsidR="00812D16" w:rsidRPr="006B4557" w:rsidRDefault="00110927" w:rsidP="00204AAB">
      <w:pPr>
        <w:pStyle w:val="Normln1"/>
        <w:spacing w:line="240" w:lineRule="auto"/>
        <w:rPr>
          <w:noProof/>
          <w:szCs w:val="22"/>
        </w:rPr>
      </w:pPr>
      <w:r>
        <w:t>12</w:t>
      </w:r>
      <w:r w:rsidR="001E3814">
        <w:t xml:space="preserve"> měsíců</w:t>
      </w:r>
    </w:p>
    <w:p w14:paraId="125037A6" w14:textId="77777777" w:rsidR="00812D16" w:rsidRPr="006B4557" w:rsidRDefault="00812D16" w:rsidP="00204AAB">
      <w:pPr>
        <w:pStyle w:val="Normln1"/>
        <w:spacing w:line="240" w:lineRule="auto"/>
        <w:rPr>
          <w:noProof/>
          <w:szCs w:val="22"/>
        </w:rPr>
      </w:pPr>
    </w:p>
    <w:p w14:paraId="2A739D18" w14:textId="77777777" w:rsidR="00812D16" w:rsidRPr="006B4557" w:rsidRDefault="001E3814" w:rsidP="00AD7832">
      <w:pPr>
        <w:pStyle w:val="Normln1"/>
        <w:keepNext/>
        <w:numPr>
          <w:ilvl w:val="1"/>
          <w:numId w:val="1"/>
        </w:numPr>
        <w:spacing w:line="240" w:lineRule="auto"/>
        <w:outlineLvl w:val="0"/>
        <w:rPr>
          <w:b/>
          <w:noProof/>
          <w:szCs w:val="22"/>
        </w:rPr>
      </w:pPr>
      <w:r>
        <w:rPr>
          <w:b/>
          <w:noProof/>
        </w:rPr>
        <w:t>Zvláštní opatření pro uchovávání</w:t>
      </w:r>
    </w:p>
    <w:p w14:paraId="305E67A1" w14:textId="77777777" w:rsidR="005108A3" w:rsidRPr="006B4557" w:rsidRDefault="005108A3" w:rsidP="0056212D">
      <w:pPr>
        <w:pStyle w:val="Normln1"/>
        <w:keepNext/>
        <w:spacing w:line="240" w:lineRule="auto"/>
        <w:ind w:left="567" w:hanging="567"/>
        <w:outlineLvl w:val="0"/>
        <w:rPr>
          <w:noProof/>
          <w:szCs w:val="22"/>
        </w:rPr>
      </w:pPr>
    </w:p>
    <w:p w14:paraId="2A25F079" w14:textId="3272C84A" w:rsidR="00643005" w:rsidRDefault="00643005" w:rsidP="00204AAB">
      <w:pPr>
        <w:pStyle w:val="Normln1"/>
        <w:spacing w:line="240" w:lineRule="auto"/>
      </w:pPr>
      <w:r w:rsidRPr="00643005">
        <w:t>Uchovávejte v chladničce (2 °</w:t>
      </w:r>
      <w:proofErr w:type="gramStart"/>
      <w:r w:rsidRPr="00643005">
        <w:t>C - 8</w:t>
      </w:r>
      <w:proofErr w:type="gramEnd"/>
      <w:r w:rsidRPr="00643005">
        <w:t xml:space="preserve"> °C).</w:t>
      </w:r>
      <w:r>
        <w:t xml:space="preserve"> </w:t>
      </w:r>
      <w:r w:rsidR="00302389" w:rsidRPr="00302389">
        <w:t>Chraňte před mrazem</w:t>
      </w:r>
      <w:r w:rsidR="00302389">
        <w:t>.</w:t>
      </w:r>
      <w:r w:rsidR="00E9691B">
        <w:t xml:space="preserve"> </w:t>
      </w:r>
      <w:r w:rsidR="00E9691B" w:rsidRPr="00E9691B">
        <w:t xml:space="preserve">Uchovávejte </w:t>
      </w:r>
      <w:r w:rsidR="006F12EE">
        <w:t>injekční lahvičky</w:t>
      </w:r>
      <w:r w:rsidR="00E9691B" w:rsidRPr="00E9691B">
        <w:t xml:space="preserve"> v</w:t>
      </w:r>
      <w:r w:rsidR="00A9293D">
        <w:t> </w:t>
      </w:r>
      <w:r w:rsidR="00E9691B" w:rsidRPr="00E9691B">
        <w:t>krabičce</w:t>
      </w:r>
      <w:r w:rsidR="00A9293D">
        <w:t xml:space="preserve">, </w:t>
      </w:r>
      <w:r w:rsidR="00A9293D" w:rsidRPr="00A9293D">
        <w:t>aby byl přípravek chráněn před světlem</w:t>
      </w:r>
      <w:r w:rsidR="00A9293D">
        <w:t>.</w:t>
      </w:r>
    </w:p>
    <w:p w14:paraId="787A9187" w14:textId="44157C3D" w:rsidR="0045089A" w:rsidRDefault="0045089A" w:rsidP="00204AAB">
      <w:pPr>
        <w:pStyle w:val="Normln1"/>
        <w:spacing w:line="240" w:lineRule="auto"/>
      </w:pPr>
      <w:r>
        <w:t>Po otevření musí být přípravek použit okamžitě.</w:t>
      </w:r>
    </w:p>
    <w:p w14:paraId="34D0EF03" w14:textId="77777777" w:rsidR="00643005" w:rsidRDefault="00643005" w:rsidP="00204AAB">
      <w:pPr>
        <w:pStyle w:val="Normln1"/>
        <w:spacing w:line="240" w:lineRule="auto"/>
      </w:pPr>
    </w:p>
    <w:p w14:paraId="361F0775" w14:textId="17E2C1B7" w:rsidR="00812D16" w:rsidRPr="00B3208E" w:rsidRDefault="001E3814" w:rsidP="00AD7832">
      <w:pPr>
        <w:pStyle w:val="Normln1"/>
        <w:keepNext/>
        <w:numPr>
          <w:ilvl w:val="1"/>
          <w:numId w:val="1"/>
        </w:numPr>
        <w:tabs>
          <w:tab w:val="clear" w:pos="567"/>
        </w:tabs>
        <w:spacing w:line="240" w:lineRule="auto"/>
        <w:ind w:left="0" w:firstLine="0"/>
        <w:outlineLvl w:val="0"/>
        <w:rPr>
          <w:b/>
          <w:noProof/>
          <w:szCs w:val="22"/>
        </w:rPr>
      </w:pPr>
      <w:r>
        <w:rPr>
          <w:b/>
          <w:noProof/>
        </w:rPr>
        <w:t xml:space="preserve">Druh obalu a obsah balení </w:t>
      </w:r>
    </w:p>
    <w:p w14:paraId="5F6DEF70" w14:textId="77777777" w:rsidR="00812D16" w:rsidRPr="00A26F79" w:rsidRDefault="00812D16" w:rsidP="0056212D">
      <w:pPr>
        <w:pStyle w:val="Normln1"/>
        <w:keepNext/>
        <w:spacing w:line="240" w:lineRule="auto"/>
        <w:outlineLvl w:val="0"/>
        <w:rPr>
          <w:b/>
          <w:noProof/>
          <w:szCs w:val="22"/>
        </w:rPr>
      </w:pPr>
    </w:p>
    <w:p w14:paraId="36A9300B" w14:textId="3A52D2C2" w:rsidR="009A48B6" w:rsidRPr="008E4E90" w:rsidRDefault="009A48B6" w:rsidP="00204AAB">
      <w:pPr>
        <w:pStyle w:val="Normln1"/>
        <w:spacing w:line="240" w:lineRule="auto"/>
        <w:rPr>
          <w:u w:val="single"/>
        </w:rPr>
      </w:pPr>
      <w:r w:rsidRPr="008E4E90">
        <w:rPr>
          <w:u w:val="single"/>
        </w:rPr>
        <w:t>Druh obalu/uzávěru</w:t>
      </w:r>
    </w:p>
    <w:p w14:paraId="166C3F9C" w14:textId="1B6B4EEB" w:rsidR="008E4E90" w:rsidRDefault="00A92700" w:rsidP="00204AAB">
      <w:pPr>
        <w:pStyle w:val="Normln1"/>
        <w:spacing w:line="240" w:lineRule="auto"/>
      </w:pPr>
      <w:r>
        <w:t>Injekční l</w:t>
      </w:r>
      <w:r w:rsidRPr="00A92700">
        <w:t>ahvič</w:t>
      </w:r>
      <w:r>
        <w:t xml:space="preserve">ka ze </w:t>
      </w:r>
      <w:r w:rsidRPr="00A92700">
        <w:t>skl</w:t>
      </w:r>
      <w:r>
        <w:t>a</w:t>
      </w:r>
      <w:r w:rsidRPr="00A92700">
        <w:t xml:space="preserve"> </w:t>
      </w:r>
      <w:r w:rsidR="00B15296">
        <w:t>třídy</w:t>
      </w:r>
      <w:r w:rsidRPr="00A92700">
        <w:t xml:space="preserve"> </w:t>
      </w:r>
      <w:r w:rsidR="00111B7E">
        <w:t>I</w:t>
      </w:r>
      <w:r>
        <w:t>,</w:t>
      </w:r>
      <w:r w:rsidRPr="00A92700">
        <w:t xml:space="preserve"> zátk</w:t>
      </w:r>
      <w:r w:rsidR="004D09B0">
        <w:t>a z butylové pryže</w:t>
      </w:r>
      <w:r w:rsidR="00B15296">
        <w:t xml:space="preserve"> </w:t>
      </w:r>
      <w:r w:rsidR="00F03BD8">
        <w:t>a</w:t>
      </w:r>
      <w:r w:rsidR="00F2443A">
        <w:t xml:space="preserve"> hliníkov</w:t>
      </w:r>
      <w:r w:rsidR="008F6AB6">
        <w:t>é</w:t>
      </w:r>
      <w:r w:rsidRPr="00A92700">
        <w:t xml:space="preserve"> </w:t>
      </w:r>
      <w:r w:rsidR="00B15296">
        <w:t>těsnění</w:t>
      </w:r>
      <w:r w:rsidRPr="00A92700">
        <w:t xml:space="preserve"> </w:t>
      </w:r>
      <w:r w:rsidR="00F2443A">
        <w:t>s polypropylenovým odtrhovacím víčkem</w:t>
      </w:r>
      <w:r w:rsidRPr="00A92700">
        <w:t>.</w:t>
      </w:r>
    </w:p>
    <w:p w14:paraId="3847254A" w14:textId="77777777" w:rsidR="009A48B6" w:rsidRDefault="009A48B6" w:rsidP="00204AAB">
      <w:pPr>
        <w:pStyle w:val="Normln1"/>
        <w:spacing w:line="240" w:lineRule="auto"/>
      </w:pPr>
    </w:p>
    <w:p w14:paraId="4DDF1376" w14:textId="45ACBA58" w:rsidR="009A48B6" w:rsidRPr="0096154A" w:rsidRDefault="00D86E7C" w:rsidP="00204AAB">
      <w:pPr>
        <w:pStyle w:val="Normln1"/>
        <w:spacing w:line="240" w:lineRule="auto"/>
        <w:rPr>
          <w:u w:val="single"/>
        </w:rPr>
      </w:pPr>
      <w:r w:rsidRPr="0096154A">
        <w:rPr>
          <w:u w:val="single"/>
        </w:rPr>
        <w:t xml:space="preserve">Obsah </w:t>
      </w:r>
      <w:r w:rsidR="0096154A" w:rsidRPr="0096154A">
        <w:rPr>
          <w:u w:val="single"/>
        </w:rPr>
        <w:t>balení</w:t>
      </w:r>
    </w:p>
    <w:p w14:paraId="52B7487D" w14:textId="5D2B3F0B" w:rsidR="00D86E7C" w:rsidRDefault="0096154A" w:rsidP="00204AAB">
      <w:pPr>
        <w:pStyle w:val="Normln1"/>
        <w:spacing w:line="240" w:lineRule="auto"/>
      </w:pPr>
      <w:r>
        <w:t xml:space="preserve">Jedna injekční lahvička obsahuje </w:t>
      </w:r>
      <w:r w:rsidR="00AC4C14">
        <w:t>125 jednotek k</w:t>
      </w:r>
      <w:r w:rsidR="002C5D64">
        <w:t>omplex</w:t>
      </w:r>
      <w:r w:rsidR="00AC4C14">
        <w:t>u</w:t>
      </w:r>
      <w:r w:rsidR="002C5D64">
        <w:t xml:space="preserve"> </w:t>
      </w:r>
      <w:r w:rsidR="002C5D64" w:rsidRPr="00E46FBA">
        <w:rPr>
          <w:i/>
        </w:rPr>
        <w:t xml:space="preserve">Clostridium </w:t>
      </w:r>
      <w:proofErr w:type="spellStart"/>
      <w:r w:rsidR="002C5D64" w:rsidRPr="00E46FBA">
        <w:rPr>
          <w:i/>
        </w:rPr>
        <w:t>botulinum</w:t>
      </w:r>
      <w:proofErr w:type="spellEnd"/>
      <w:r w:rsidR="002C5D64">
        <w:t xml:space="preserve"> toxin</w:t>
      </w:r>
      <w:r w:rsidR="00AC4C14">
        <w:t>u</w:t>
      </w:r>
      <w:r w:rsidR="002C5D64">
        <w:t xml:space="preserve"> A s</w:t>
      </w:r>
      <w:r w:rsidR="00631485">
        <w:t> </w:t>
      </w:r>
      <w:proofErr w:type="spellStart"/>
      <w:r w:rsidR="002C5D64">
        <w:t>hemaglutininem</w:t>
      </w:r>
      <w:proofErr w:type="spellEnd"/>
      <w:r w:rsidR="002C5D64" w:rsidRPr="002C5D64">
        <w:t xml:space="preserve"> </w:t>
      </w:r>
      <w:r w:rsidR="00AB5B13">
        <w:t>v 0,625 ml roztoku.</w:t>
      </w:r>
    </w:p>
    <w:p w14:paraId="00B317E3" w14:textId="5CF341CD" w:rsidR="009A48B6" w:rsidRDefault="00AB5B13" w:rsidP="00204AAB">
      <w:pPr>
        <w:pStyle w:val="Normln1"/>
        <w:spacing w:line="240" w:lineRule="auto"/>
      </w:pPr>
      <w:r>
        <w:t>Čirý bezbarvý roztok.</w:t>
      </w:r>
    </w:p>
    <w:p w14:paraId="7B303620" w14:textId="039975F8" w:rsidR="00AB5B13" w:rsidRDefault="00AB5B13" w:rsidP="00204AAB">
      <w:pPr>
        <w:pStyle w:val="Normln1"/>
        <w:spacing w:line="240" w:lineRule="auto"/>
      </w:pPr>
    </w:p>
    <w:p w14:paraId="314F66D0" w14:textId="20CE42E2" w:rsidR="00AB5B13" w:rsidRPr="00AB5B13" w:rsidRDefault="00AB5B13" w:rsidP="00204AAB">
      <w:pPr>
        <w:pStyle w:val="Normln1"/>
        <w:spacing w:line="240" w:lineRule="auto"/>
        <w:rPr>
          <w:u w:val="single"/>
        </w:rPr>
      </w:pPr>
      <w:r w:rsidRPr="00AB5B13">
        <w:rPr>
          <w:u w:val="single"/>
        </w:rPr>
        <w:t>Velikost balení</w:t>
      </w:r>
      <w:r>
        <w:rPr>
          <w:u w:val="single"/>
        </w:rPr>
        <w:t>:</w:t>
      </w:r>
    </w:p>
    <w:p w14:paraId="0EFD2702" w14:textId="2ED8F9DA" w:rsidR="00AB5B13" w:rsidRDefault="00AB5B13" w:rsidP="00204AAB">
      <w:pPr>
        <w:pStyle w:val="Normln1"/>
        <w:spacing w:line="240" w:lineRule="auto"/>
      </w:pPr>
      <w:r>
        <w:t xml:space="preserve">Balení obsahující 1 </w:t>
      </w:r>
      <w:r w:rsidR="00E54451">
        <w:t>nebo 2 injekční lahvičky p</w:t>
      </w:r>
      <w:r w:rsidR="00F92888">
        <w:t>ř</w:t>
      </w:r>
      <w:r w:rsidR="00E54451">
        <w:t xml:space="preserve">ípravku </w:t>
      </w:r>
      <w:proofErr w:type="spellStart"/>
      <w:r w:rsidR="00E54451" w:rsidRPr="00AD7832">
        <w:t>Alluzience</w:t>
      </w:r>
      <w:proofErr w:type="spellEnd"/>
      <w:r w:rsidR="00F92888">
        <w:t>.</w:t>
      </w:r>
      <w:r w:rsidR="00E54451">
        <w:t xml:space="preserve"> </w:t>
      </w:r>
    </w:p>
    <w:p w14:paraId="17879706" w14:textId="54F5E4D4" w:rsidR="00812D16" w:rsidRPr="008225EB" w:rsidRDefault="001E3814" w:rsidP="00204AAB">
      <w:pPr>
        <w:pStyle w:val="Normln1"/>
        <w:spacing w:line="240" w:lineRule="auto"/>
        <w:rPr>
          <w:noProof/>
          <w:szCs w:val="22"/>
        </w:rPr>
      </w:pPr>
      <w:r>
        <w:t>Na trhu nemusí být všechny velikosti balení.</w:t>
      </w:r>
    </w:p>
    <w:p w14:paraId="47B973E8" w14:textId="77777777" w:rsidR="00812D16" w:rsidRPr="008225EB" w:rsidRDefault="00812D16" w:rsidP="00204AAB">
      <w:pPr>
        <w:pStyle w:val="Normln1"/>
        <w:spacing w:line="240" w:lineRule="auto"/>
        <w:rPr>
          <w:noProof/>
          <w:szCs w:val="22"/>
        </w:rPr>
      </w:pPr>
    </w:p>
    <w:p w14:paraId="30A063FF" w14:textId="0334E3F5" w:rsidR="00812D16" w:rsidRPr="000643D3" w:rsidRDefault="001E3814" w:rsidP="00AD7832">
      <w:pPr>
        <w:pStyle w:val="Normln1"/>
        <w:keepNext/>
        <w:numPr>
          <w:ilvl w:val="1"/>
          <w:numId w:val="1"/>
        </w:numPr>
        <w:spacing w:line="240" w:lineRule="auto"/>
        <w:outlineLvl w:val="0"/>
        <w:rPr>
          <w:noProof/>
          <w:szCs w:val="22"/>
        </w:rPr>
      </w:pPr>
      <w:bookmarkStart w:id="1" w:name="OLE_LINK1"/>
      <w:r>
        <w:rPr>
          <w:b/>
          <w:noProof/>
        </w:rPr>
        <w:lastRenderedPageBreak/>
        <w:t>Zvláštní opatření pro likvidaci přípravku a pro zacházení s ním</w:t>
      </w:r>
    </w:p>
    <w:p w14:paraId="142909E0" w14:textId="56D34E9F" w:rsidR="00812D16" w:rsidRDefault="00812D16" w:rsidP="0056212D">
      <w:pPr>
        <w:pStyle w:val="Normln1"/>
        <w:keepNext/>
        <w:spacing w:line="240" w:lineRule="auto"/>
        <w:rPr>
          <w:noProof/>
          <w:szCs w:val="22"/>
        </w:rPr>
      </w:pPr>
    </w:p>
    <w:p w14:paraId="35629D76" w14:textId="38C07CE3" w:rsidR="00655062" w:rsidRDefault="00655062" w:rsidP="00655062">
      <w:pPr>
        <w:pStyle w:val="Normln1"/>
        <w:keepNext/>
        <w:rPr>
          <w:noProof/>
          <w:szCs w:val="22"/>
        </w:rPr>
      </w:pPr>
      <w:r w:rsidRPr="00655062">
        <w:rPr>
          <w:noProof/>
          <w:szCs w:val="22"/>
        </w:rPr>
        <w:t xml:space="preserve">Bezprostředně po </w:t>
      </w:r>
      <w:r>
        <w:rPr>
          <w:noProof/>
          <w:szCs w:val="22"/>
        </w:rPr>
        <w:t>léčbě pacienta</w:t>
      </w:r>
      <w:r w:rsidRPr="00655062">
        <w:rPr>
          <w:noProof/>
          <w:szCs w:val="22"/>
        </w:rPr>
        <w:t xml:space="preserve"> má být </w:t>
      </w:r>
      <w:r w:rsidR="00B5450A">
        <w:rPr>
          <w:noProof/>
          <w:szCs w:val="22"/>
        </w:rPr>
        <w:t xml:space="preserve">veškerý </w:t>
      </w:r>
      <w:r w:rsidR="005F5A8A">
        <w:rPr>
          <w:noProof/>
          <w:szCs w:val="22"/>
        </w:rPr>
        <w:t>zbytek</w:t>
      </w:r>
      <w:r w:rsidRPr="00655062">
        <w:rPr>
          <w:noProof/>
          <w:szCs w:val="22"/>
        </w:rPr>
        <w:t xml:space="preserve"> příprav</w:t>
      </w:r>
      <w:r w:rsidR="005F5A8A">
        <w:rPr>
          <w:noProof/>
          <w:szCs w:val="22"/>
        </w:rPr>
        <w:t>ku</w:t>
      </w:r>
      <w:r w:rsidRPr="00655062">
        <w:rPr>
          <w:noProof/>
          <w:szCs w:val="22"/>
        </w:rPr>
        <w:t xml:space="preserve"> </w:t>
      </w:r>
      <w:r w:rsidR="005F5A8A">
        <w:rPr>
          <w:noProof/>
          <w:szCs w:val="22"/>
        </w:rPr>
        <w:t>Alluzience</w:t>
      </w:r>
      <w:r w:rsidR="00B5450A">
        <w:rPr>
          <w:noProof/>
          <w:szCs w:val="22"/>
        </w:rPr>
        <w:t>, který může být</w:t>
      </w:r>
      <w:r w:rsidRPr="00655062">
        <w:rPr>
          <w:noProof/>
          <w:szCs w:val="22"/>
        </w:rPr>
        <w:t xml:space="preserve"> v</w:t>
      </w:r>
      <w:r w:rsidR="00B5450A">
        <w:rPr>
          <w:noProof/>
          <w:szCs w:val="22"/>
        </w:rPr>
        <w:t xml:space="preserve"> injekcní </w:t>
      </w:r>
      <w:r w:rsidRPr="00655062">
        <w:rPr>
          <w:noProof/>
          <w:szCs w:val="22"/>
        </w:rPr>
        <w:t xml:space="preserve">lahvičce nebo </w:t>
      </w:r>
      <w:r w:rsidR="00B5450A">
        <w:rPr>
          <w:noProof/>
          <w:szCs w:val="22"/>
        </w:rPr>
        <w:t xml:space="preserve">ve </w:t>
      </w:r>
      <w:r w:rsidRPr="00655062">
        <w:rPr>
          <w:noProof/>
          <w:szCs w:val="22"/>
        </w:rPr>
        <w:t>stříkačce</w:t>
      </w:r>
      <w:r w:rsidR="00695999">
        <w:rPr>
          <w:noProof/>
          <w:szCs w:val="22"/>
        </w:rPr>
        <w:t>,</w:t>
      </w:r>
      <w:r w:rsidRPr="00655062">
        <w:rPr>
          <w:noProof/>
          <w:szCs w:val="22"/>
        </w:rPr>
        <w:t xml:space="preserve"> inaktivován </w:t>
      </w:r>
      <w:r w:rsidR="00695999">
        <w:rPr>
          <w:noProof/>
          <w:szCs w:val="22"/>
        </w:rPr>
        <w:t>zředěným</w:t>
      </w:r>
      <w:r w:rsidRPr="00655062">
        <w:rPr>
          <w:noProof/>
          <w:szCs w:val="22"/>
        </w:rPr>
        <w:t xml:space="preserve"> roztok</w:t>
      </w:r>
      <w:r w:rsidR="00695999">
        <w:rPr>
          <w:noProof/>
          <w:szCs w:val="22"/>
        </w:rPr>
        <w:t>em</w:t>
      </w:r>
      <w:r w:rsidRPr="00655062">
        <w:rPr>
          <w:noProof/>
          <w:szCs w:val="22"/>
        </w:rPr>
        <w:t xml:space="preserve"> chlornanu </w:t>
      </w:r>
      <w:r w:rsidR="00734809">
        <w:rPr>
          <w:noProof/>
          <w:szCs w:val="22"/>
        </w:rPr>
        <w:t>(</w:t>
      </w:r>
      <w:r w:rsidRPr="00655062">
        <w:rPr>
          <w:noProof/>
          <w:szCs w:val="22"/>
        </w:rPr>
        <w:t xml:space="preserve">1 % </w:t>
      </w:r>
      <w:r w:rsidR="00734809">
        <w:rPr>
          <w:noProof/>
          <w:szCs w:val="22"/>
        </w:rPr>
        <w:t>volného chloru</w:t>
      </w:r>
      <w:r w:rsidRPr="00655062">
        <w:rPr>
          <w:noProof/>
          <w:szCs w:val="22"/>
        </w:rPr>
        <w:t>).</w:t>
      </w:r>
    </w:p>
    <w:p w14:paraId="61410C95" w14:textId="10BB99A6" w:rsidR="00734809" w:rsidRPr="00655062" w:rsidRDefault="00C80F75" w:rsidP="00655062">
      <w:pPr>
        <w:pStyle w:val="Normln1"/>
        <w:keepNext/>
        <w:rPr>
          <w:noProof/>
          <w:szCs w:val="22"/>
        </w:rPr>
      </w:pPr>
      <w:r>
        <w:rPr>
          <w:noProof/>
          <w:szCs w:val="22"/>
        </w:rPr>
        <w:t>V</w:t>
      </w:r>
      <w:r w:rsidRPr="00C80F75">
        <w:rPr>
          <w:noProof/>
          <w:szCs w:val="22"/>
        </w:rPr>
        <w:t xml:space="preserve">ylitý </w:t>
      </w:r>
      <w:r>
        <w:rPr>
          <w:noProof/>
          <w:szCs w:val="22"/>
        </w:rPr>
        <w:t>přípravek Alluzience</w:t>
      </w:r>
      <w:r w:rsidRPr="00C80F75">
        <w:rPr>
          <w:noProof/>
          <w:szCs w:val="22"/>
        </w:rPr>
        <w:t xml:space="preserve"> se musí utřít absorpční</w:t>
      </w:r>
      <w:r w:rsidR="003F554E">
        <w:rPr>
          <w:noProof/>
          <w:szCs w:val="22"/>
        </w:rPr>
        <w:t>m hadříkem</w:t>
      </w:r>
      <w:r w:rsidRPr="00C80F75">
        <w:rPr>
          <w:noProof/>
          <w:szCs w:val="22"/>
        </w:rPr>
        <w:t xml:space="preserve"> </w:t>
      </w:r>
      <w:r w:rsidR="003F554E">
        <w:rPr>
          <w:noProof/>
          <w:szCs w:val="22"/>
        </w:rPr>
        <w:t>napuštěným</w:t>
      </w:r>
      <w:r w:rsidRPr="00C80F75">
        <w:rPr>
          <w:noProof/>
          <w:szCs w:val="22"/>
        </w:rPr>
        <w:t xml:space="preserve"> </w:t>
      </w:r>
      <w:r w:rsidR="003F554E">
        <w:rPr>
          <w:noProof/>
          <w:szCs w:val="22"/>
        </w:rPr>
        <w:t xml:space="preserve">zředěným </w:t>
      </w:r>
      <w:r w:rsidRPr="00C80F75">
        <w:rPr>
          <w:noProof/>
          <w:szCs w:val="22"/>
        </w:rPr>
        <w:t>roztokem chlornanu</w:t>
      </w:r>
      <w:r w:rsidR="004F00A5">
        <w:rPr>
          <w:noProof/>
          <w:szCs w:val="22"/>
        </w:rPr>
        <w:t>.</w:t>
      </w:r>
      <w:r w:rsidRPr="00C80F75">
        <w:rPr>
          <w:noProof/>
          <w:szCs w:val="22"/>
        </w:rPr>
        <w:t xml:space="preserve"> </w:t>
      </w:r>
    </w:p>
    <w:p w14:paraId="037C00E8" w14:textId="3878BA45" w:rsidR="00655062" w:rsidRDefault="006B271C" w:rsidP="00655062">
      <w:pPr>
        <w:pStyle w:val="Normln1"/>
        <w:keepNext/>
        <w:spacing w:line="240" w:lineRule="auto"/>
        <w:rPr>
          <w:noProof/>
          <w:szCs w:val="22"/>
        </w:rPr>
      </w:pPr>
      <w:r>
        <w:rPr>
          <w:noProof/>
          <w:szCs w:val="22"/>
        </w:rPr>
        <w:t>Jakýkoli nepoužitý přípravek nebo odpad</w:t>
      </w:r>
      <w:r w:rsidR="00533B5A">
        <w:rPr>
          <w:noProof/>
          <w:szCs w:val="22"/>
        </w:rPr>
        <w:t xml:space="preserve"> musí být</w:t>
      </w:r>
      <w:r w:rsidR="00655062" w:rsidRPr="00655062">
        <w:rPr>
          <w:noProof/>
          <w:szCs w:val="22"/>
        </w:rPr>
        <w:t xml:space="preserve"> zlikvidován v souladu s místnímu požadavky.</w:t>
      </w:r>
    </w:p>
    <w:p w14:paraId="1FA7EC25" w14:textId="1015DCF7" w:rsidR="00655062" w:rsidRDefault="00655062" w:rsidP="0056212D">
      <w:pPr>
        <w:pStyle w:val="Normln1"/>
        <w:keepNext/>
        <w:spacing w:line="240" w:lineRule="auto"/>
        <w:rPr>
          <w:noProof/>
          <w:szCs w:val="22"/>
        </w:rPr>
      </w:pPr>
    </w:p>
    <w:p w14:paraId="40293FAC" w14:textId="17954D8F" w:rsidR="000C563D" w:rsidRPr="000C563D" w:rsidRDefault="000C563D" w:rsidP="000C563D">
      <w:pPr>
        <w:pStyle w:val="Normln1"/>
        <w:keepNext/>
        <w:rPr>
          <w:noProof/>
          <w:szCs w:val="22"/>
        </w:rPr>
      </w:pPr>
      <w:r w:rsidRPr="000C563D">
        <w:rPr>
          <w:noProof/>
          <w:szCs w:val="22"/>
        </w:rPr>
        <w:t xml:space="preserve">DOPORUČENÍ PRO PŘÍPAD JAKÉKOLI </w:t>
      </w:r>
      <w:r w:rsidR="00F92888">
        <w:rPr>
          <w:noProof/>
          <w:szCs w:val="22"/>
        </w:rPr>
        <w:t xml:space="preserve">NEHODY </w:t>
      </w:r>
      <w:r w:rsidRPr="000C563D">
        <w:rPr>
          <w:noProof/>
          <w:szCs w:val="22"/>
        </w:rPr>
        <w:t>BĚHEM MANIPULACE S</w:t>
      </w:r>
      <w:r w:rsidR="00BC55A8">
        <w:rPr>
          <w:noProof/>
          <w:szCs w:val="22"/>
        </w:rPr>
        <w:t> </w:t>
      </w:r>
      <w:r w:rsidRPr="000C563D">
        <w:rPr>
          <w:noProof/>
          <w:szCs w:val="22"/>
        </w:rPr>
        <w:t>BOTULOTOXINEM</w:t>
      </w:r>
    </w:p>
    <w:p w14:paraId="097C8400" w14:textId="77777777" w:rsidR="000C563D" w:rsidRPr="000C563D" w:rsidRDefault="000C563D" w:rsidP="000C563D">
      <w:pPr>
        <w:pStyle w:val="Normln1"/>
        <w:keepNext/>
        <w:rPr>
          <w:noProof/>
          <w:szCs w:val="22"/>
        </w:rPr>
      </w:pPr>
    </w:p>
    <w:p w14:paraId="08E0B7AA" w14:textId="317F1B01" w:rsidR="000C563D" w:rsidRPr="000C563D" w:rsidRDefault="000C563D" w:rsidP="001829A3">
      <w:pPr>
        <w:pStyle w:val="Normln1"/>
        <w:keepNext/>
        <w:ind w:left="567" w:hanging="567"/>
        <w:rPr>
          <w:noProof/>
          <w:szCs w:val="22"/>
        </w:rPr>
      </w:pPr>
      <w:r w:rsidRPr="000C563D">
        <w:rPr>
          <w:noProof/>
          <w:szCs w:val="22"/>
        </w:rPr>
        <w:t>•</w:t>
      </w:r>
      <w:r w:rsidRPr="000C563D">
        <w:rPr>
          <w:noProof/>
          <w:szCs w:val="22"/>
        </w:rPr>
        <w:tab/>
      </w:r>
      <w:r w:rsidR="00BC55A8">
        <w:rPr>
          <w:noProof/>
          <w:szCs w:val="22"/>
        </w:rPr>
        <w:t>Jakýkoli</w:t>
      </w:r>
      <w:r w:rsidRPr="000C563D">
        <w:rPr>
          <w:noProof/>
          <w:szCs w:val="22"/>
        </w:rPr>
        <w:t xml:space="preserve"> vylitý </w:t>
      </w:r>
      <w:r w:rsidR="00BC55A8">
        <w:rPr>
          <w:noProof/>
          <w:szCs w:val="22"/>
        </w:rPr>
        <w:t>přípravek</w:t>
      </w:r>
      <w:r w:rsidRPr="000C563D">
        <w:rPr>
          <w:noProof/>
          <w:szCs w:val="22"/>
        </w:rPr>
        <w:t xml:space="preserve"> se musí utřít</w:t>
      </w:r>
      <w:r w:rsidR="006654FA">
        <w:rPr>
          <w:noProof/>
          <w:szCs w:val="22"/>
        </w:rPr>
        <w:t xml:space="preserve"> suchým </w:t>
      </w:r>
      <w:r w:rsidR="003316C3" w:rsidRPr="003316C3">
        <w:rPr>
          <w:noProof/>
          <w:szCs w:val="22"/>
        </w:rPr>
        <w:t>absorpční</w:t>
      </w:r>
      <w:r w:rsidR="003316C3">
        <w:rPr>
          <w:noProof/>
          <w:szCs w:val="22"/>
        </w:rPr>
        <w:t>m</w:t>
      </w:r>
      <w:r w:rsidR="003316C3" w:rsidRPr="003316C3">
        <w:rPr>
          <w:noProof/>
          <w:szCs w:val="22"/>
        </w:rPr>
        <w:t xml:space="preserve"> materiál</w:t>
      </w:r>
      <w:r w:rsidR="003316C3">
        <w:rPr>
          <w:noProof/>
          <w:szCs w:val="22"/>
        </w:rPr>
        <w:t>em.</w:t>
      </w:r>
    </w:p>
    <w:p w14:paraId="2FF2A90F" w14:textId="09C37B9B" w:rsidR="000C563D" w:rsidRPr="000C563D" w:rsidRDefault="000C563D" w:rsidP="001829A3">
      <w:pPr>
        <w:pStyle w:val="Normln1"/>
        <w:keepNext/>
        <w:ind w:left="567" w:hanging="567"/>
        <w:rPr>
          <w:noProof/>
          <w:szCs w:val="22"/>
        </w:rPr>
      </w:pPr>
      <w:r w:rsidRPr="000C563D">
        <w:rPr>
          <w:noProof/>
          <w:szCs w:val="22"/>
        </w:rPr>
        <w:t>•</w:t>
      </w:r>
      <w:r w:rsidRPr="000C563D">
        <w:rPr>
          <w:noProof/>
          <w:szCs w:val="22"/>
        </w:rPr>
        <w:tab/>
        <w:t>Kontaminovan</w:t>
      </w:r>
      <w:r w:rsidR="003316C3">
        <w:rPr>
          <w:noProof/>
          <w:szCs w:val="22"/>
        </w:rPr>
        <w:t>é</w:t>
      </w:r>
      <w:r w:rsidRPr="000C563D">
        <w:rPr>
          <w:noProof/>
          <w:szCs w:val="22"/>
        </w:rPr>
        <w:t xml:space="preserve"> povrch</w:t>
      </w:r>
      <w:r w:rsidR="003316C3">
        <w:rPr>
          <w:noProof/>
          <w:szCs w:val="22"/>
        </w:rPr>
        <w:t>y</w:t>
      </w:r>
      <w:r w:rsidRPr="000C563D">
        <w:rPr>
          <w:noProof/>
          <w:szCs w:val="22"/>
        </w:rPr>
        <w:t xml:space="preserve"> se </w:t>
      </w:r>
      <w:r w:rsidR="003316C3">
        <w:rPr>
          <w:noProof/>
          <w:szCs w:val="22"/>
        </w:rPr>
        <w:t>mají</w:t>
      </w:r>
      <w:r w:rsidRPr="000C563D">
        <w:rPr>
          <w:noProof/>
          <w:szCs w:val="22"/>
        </w:rPr>
        <w:t xml:space="preserve"> očistit s použitím absorpčního materiálu </w:t>
      </w:r>
      <w:r w:rsidR="00366E52">
        <w:rPr>
          <w:noProof/>
          <w:szCs w:val="22"/>
        </w:rPr>
        <w:t>napuštěného</w:t>
      </w:r>
      <w:r w:rsidRPr="000C563D">
        <w:rPr>
          <w:noProof/>
          <w:szCs w:val="22"/>
        </w:rPr>
        <w:t xml:space="preserve"> roztokem chlornanu sodného </w:t>
      </w:r>
      <w:r w:rsidRPr="00A12B92">
        <w:rPr>
          <w:noProof/>
          <w:szCs w:val="22"/>
        </w:rPr>
        <w:t>(chloramin, chlorové vápno</w:t>
      </w:r>
      <w:r w:rsidRPr="000C563D">
        <w:rPr>
          <w:noProof/>
          <w:szCs w:val="22"/>
        </w:rPr>
        <w:t>) a poté vysušit.</w:t>
      </w:r>
    </w:p>
    <w:p w14:paraId="0B4C760D" w14:textId="1C40DEA6" w:rsidR="000C563D" w:rsidRPr="000C563D" w:rsidRDefault="000C563D" w:rsidP="001829A3">
      <w:pPr>
        <w:pStyle w:val="Normln1"/>
        <w:keepNext/>
        <w:ind w:left="567" w:hanging="567"/>
        <w:rPr>
          <w:noProof/>
          <w:szCs w:val="22"/>
        </w:rPr>
      </w:pPr>
      <w:r w:rsidRPr="000C563D">
        <w:rPr>
          <w:noProof/>
          <w:szCs w:val="22"/>
        </w:rPr>
        <w:t>•</w:t>
      </w:r>
      <w:r w:rsidRPr="000C563D">
        <w:rPr>
          <w:noProof/>
          <w:szCs w:val="22"/>
        </w:rPr>
        <w:tab/>
      </w:r>
      <w:r w:rsidR="002072BD">
        <w:rPr>
          <w:noProof/>
          <w:szCs w:val="22"/>
        </w:rPr>
        <w:t xml:space="preserve">Pokud </w:t>
      </w:r>
      <w:r w:rsidR="00BF266B">
        <w:rPr>
          <w:noProof/>
          <w:szCs w:val="22"/>
        </w:rPr>
        <w:t>s</w:t>
      </w:r>
      <w:r w:rsidR="002072BD">
        <w:rPr>
          <w:noProof/>
          <w:szCs w:val="22"/>
        </w:rPr>
        <w:t>e</w:t>
      </w:r>
      <w:r w:rsidRPr="000C563D">
        <w:rPr>
          <w:noProof/>
          <w:szCs w:val="22"/>
        </w:rPr>
        <w:t xml:space="preserve"> lahvičk</w:t>
      </w:r>
      <w:r w:rsidR="00BF266B">
        <w:rPr>
          <w:noProof/>
          <w:szCs w:val="22"/>
        </w:rPr>
        <w:t>a rozbije,</w:t>
      </w:r>
      <w:r w:rsidRPr="000C563D">
        <w:rPr>
          <w:noProof/>
          <w:szCs w:val="22"/>
        </w:rPr>
        <w:t xml:space="preserve"> postupujte, jak je zmíněno výše, opatrným sebráním kousků rozbitého skla a setřením produktu tak, aby nedošlo k žádnému poranění kůže.</w:t>
      </w:r>
    </w:p>
    <w:p w14:paraId="0F597CC9" w14:textId="77777777" w:rsidR="000C563D" w:rsidRPr="000C563D" w:rsidRDefault="000C563D" w:rsidP="001829A3">
      <w:pPr>
        <w:pStyle w:val="Normln1"/>
        <w:keepNext/>
        <w:ind w:left="567" w:hanging="567"/>
        <w:rPr>
          <w:noProof/>
          <w:szCs w:val="22"/>
        </w:rPr>
      </w:pPr>
      <w:r w:rsidRPr="000C563D">
        <w:rPr>
          <w:noProof/>
          <w:szCs w:val="22"/>
        </w:rPr>
        <w:t>•</w:t>
      </w:r>
      <w:r w:rsidRPr="000C563D">
        <w:rPr>
          <w:noProof/>
          <w:szCs w:val="22"/>
        </w:rPr>
        <w:tab/>
        <w:t>Pokud dojde ke kontaktu přípravku s kůží, omyjte postiženou oblast roztokem chlornanu sodného (</w:t>
      </w:r>
      <w:r w:rsidRPr="00A12B92">
        <w:rPr>
          <w:noProof/>
          <w:szCs w:val="22"/>
        </w:rPr>
        <w:t>chloramin, chlorové vápno</w:t>
      </w:r>
      <w:r w:rsidRPr="000C563D">
        <w:rPr>
          <w:noProof/>
          <w:szCs w:val="22"/>
        </w:rPr>
        <w:t>) a potom hojně opláchněte vodou.</w:t>
      </w:r>
    </w:p>
    <w:p w14:paraId="7714D700" w14:textId="77777777" w:rsidR="000C563D" w:rsidRPr="000C563D" w:rsidRDefault="000C563D" w:rsidP="001829A3">
      <w:pPr>
        <w:pStyle w:val="Normln1"/>
        <w:keepNext/>
        <w:ind w:left="567" w:hanging="567"/>
        <w:rPr>
          <w:noProof/>
          <w:szCs w:val="22"/>
        </w:rPr>
      </w:pPr>
      <w:r w:rsidRPr="000C563D">
        <w:rPr>
          <w:noProof/>
          <w:szCs w:val="22"/>
        </w:rPr>
        <w:t>•</w:t>
      </w:r>
      <w:r w:rsidRPr="000C563D">
        <w:rPr>
          <w:noProof/>
          <w:szCs w:val="22"/>
        </w:rPr>
        <w:tab/>
        <w:t>Pokud přijde přípravek do kontaktu s očima, vypláchněte je důkladně velkým množstvím vody nebo očním roztokem k výplachu očí.</w:t>
      </w:r>
    </w:p>
    <w:p w14:paraId="31CAA54E" w14:textId="75890CBD" w:rsidR="000C563D" w:rsidRDefault="000C563D" w:rsidP="001829A3">
      <w:pPr>
        <w:pStyle w:val="Normln1"/>
        <w:keepNext/>
        <w:spacing w:line="240" w:lineRule="auto"/>
        <w:ind w:left="567" w:hanging="567"/>
        <w:rPr>
          <w:noProof/>
          <w:szCs w:val="22"/>
        </w:rPr>
      </w:pPr>
      <w:r w:rsidRPr="000C563D">
        <w:rPr>
          <w:noProof/>
          <w:szCs w:val="22"/>
        </w:rPr>
        <w:t>•</w:t>
      </w:r>
      <w:r w:rsidRPr="000C563D">
        <w:rPr>
          <w:noProof/>
          <w:szCs w:val="22"/>
        </w:rPr>
        <w:tab/>
        <w:t>Přijde-li přípravek do kontaktu se zraněním, pořezanou nebo porušenou kůží, důkladně vypláchněte postižené místo velkým množstvím vody a učiňte vhodná lékařská opatření podle množství vstříknuté dávky.</w:t>
      </w:r>
    </w:p>
    <w:p w14:paraId="2B0724C9" w14:textId="77777777" w:rsidR="007F2CE4" w:rsidRDefault="007F2CE4" w:rsidP="0056212D">
      <w:pPr>
        <w:pStyle w:val="Normln1"/>
        <w:keepNext/>
        <w:spacing w:line="240" w:lineRule="auto"/>
        <w:rPr>
          <w:noProof/>
          <w:szCs w:val="22"/>
        </w:rPr>
      </w:pPr>
    </w:p>
    <w:p w14:paraId="3B8CA78E" w14:textId="4C1B054A" w:rsidR="00655062" w:rsidRPr="00412450" w:rsidRDefault="007F2CE4" w:rsidP="0056212D">
      <w:pPr>
        <w:pStyle w:val="Normln1"/>
        <w:keepNext/>
        <w:spacing w:line="240" w:lineRule="auto"/>
        <w:rPr>
          <w:noProof/>
          <w:szCs w:val="22"/>
        </w:rPr>
      </w:pPr>
      <w:r w:rsidRPr="007F2CE4">
        <w:rPr>
          <w:noProof/>
          <w:szCs w:val="22"/>
        </w:rPr>
        <w:t>Tyto instrukce pro manipulaci a likvidaci mají být striktně dodrženy.</w:t>
      </w:r>
    </w:p>
    <w:bookmarkEnd w:id="1"/>
    <w:p w14:paraId="76E1E819" w14:textId="77777777" w:rsidR="00812D16" w:rsidRPr="006B4557" w:rsidRDefault="00812D16" w:rsidP="00204AAB">
      <w:pPr>
        <w:pStyle w:val="Normln1"/>
        <w:spacing w:line="240" w:lineRule="auto"/>
      </w:pPr>
    </w:p>
    <w:p w14:paraId="53920DF4" w14:textId="77777777" w:rsidR="00812D16" w:rsidRPr="00BC6DC2" w:rsidRDefault="00812D16" w:rsidP="00204AAB">
      <w:pPr>
        <w:pStyle w:val="Normln1"/>
        <w:spacing w:line="240" w:lineRule="auto"/>
        <w:rPr>
          <w:noProof/>
          <w:szCs w:val="22"/>
        </w:rPr>
      </w:pPr>
    </w:p>
    <w:p w14:paraId="252E21AF" w14:textId="77777777" w:rsidR="00812D16" w:rsidRPr="00157895" w:rsidRDefault="001E3814" w:rsidP="00AD7832">
      <w:pPr>
        <w:pStyle w:val="Normln1"/>
        <w:keepNext/>
        <w:numPr>
          <w:ilvl w:val="0"/>
          <w:numId w:val="1"/>
        </w:numPr>
        <w:spacing w:line="240" w:lineRule="auto"/>
        <w:rPr>
          <w:noProof/>
          <w:szCs w:val="22"/>
        </w:rPr>
      </w:pPr>
      <w:r>
        <w:rPr>
          <w:b/>
          <w:noProof/>
        </w:rPr>
        <w:t>DRŽITEL ROZHODNUTÍ O REGISTRACI</w:t>
      </w:r>
    </w:p>
    <w:p w14:paraId="75CEFA75" w14:textId="77777777" w:rsidR="00812D16" w:rsidRPr="001F6423" w:rsidRDefault="00812D16" w:rsidP="0056212D">
      <w:pPr>
        <w:pStyle w:val="Normln1"/>
        <w:keepNext/>
        <w:spacing w:line="240" w:lineRule="auto"/>
        <w:rPr>
          <w:noProof/>
          <w:szCs w:val="22"/>
        </w:rPr>
      </w:pPr>
    </w:p>
    <w:p w14:paraId="561E9980" w14:textId="77777777" w:rsidR="00663FF6" w:rsidRDefault="00663FF6" w:rsidP="00663FF6">
      <w:pPr>
        <w:ind w:right="-2"/>
      </w:pPr>
      <w:r w:rsidRPr="000F184F">
        <w:t>Ipsen Pharma</w:t>
      </w:r>
    </w:p>
    <w:p w14:paraId="6EF3B89C" w14:textId="016093F6" w:rsidR="00663FF6" w:rsidRDefault="00663FF6" w:rsidP="00663FF6">
      <w:pPr>
        <w:ind w:right="-2"/>
      </w:pPr>
      <w:r w:rsidRPr="000F184F">
        <w:t xml:space="preserve">65 </w:t>
      </w:r>
      <w:r>
        <w:t>Q</w:t>
      </w:r>
      <w:r w:rsidRPr="000F184F">
        <w:t>uai Georges Gorse</w:t>
      </w:r>
    </w:p>
    <w:p w14:paraId="16FE3535" w14:textId="77777777" w:rsidR="00663FF6" w:rsidRDefault="00663FF6" w:rsidP="00663FF6">
      <w:pPr>
        <w:ind w:right="-2"/>
      </w:pPr>
      <w:r w:rsidRPr="000F184F">
        <w:t>92100 Boulogne-Billancourt</w:t>
      </w:r>
    </w:p>
    <w:p w14:paraId="314BE189" w14:textId="77777777" w:rsidR="00663FF6" w:rsidRPr="006D09B1" w:rsidRDefault="00663FF6" w:rsidP="00663FF6">
      <w:pPr>
        <w:ind w:right="-2"/>
      </w:pPr>
      <w:r w:rsidRPr="000F184F">
        <w:t>Francie</w:t>
      </w:r>
      <w:r w:rsidRPr="006D09B1">
        <w:t xml:space="preserve"> </w:t>
      </w:r>
    </w:p>
    <w:p w14:paraId="3669BBC1" w14:textId="77777777" w:rsidR="00812D16" w:rsidRPr="00067B16" w:rsidRDefault="00812D16" w:rsidP="00204AAB">
      <w:pPr>
        <w:pStyle w:val="Normln1"/>
        <w:spacing w:line="240" w:lineRule="auto"/>
        <w:rPr>
          <w:noProof/>
          <w:szCs w:val="22"/>
        </w:rPr>
      </w:pPr>
    </w:p>
    <w:p w14:paraId="1154ACB7" w14:textId="77777777" w:rsidR="00812D16" w:rsidRPr="00067B16" w:rsidRDefault="00812D16" w:rsidP="00204AAB">
      <w:pPr>
        <w:pStyle w:val="Normln1"/>
        <w:spacing w:line="240" w:lineRule="auto"/>
        <w:rPr>
          <w:noProof/>
          <w:szCs w:val="22"/>
        </w:rPr>
      </w:pPr>
      <w:bookmarkStart w:id="2" w:name="_GoBack"/>
      <w:bookmarkEnd w:id="2"/>
    </w:p>
    <w:p w14:paraId="78729489" w14:textId="77777777" w:rsidR="00812D16" w:rsidRPr="00B3208E" w:rsidRDefault="001E3814" w:rsidP="00AD7832">
      <w:pPr>
        <w:pStyle w:val="Normln1"/>
        <w:keepNext/>
        <w:numPr>
          <w:ilvl w:val="0"/>
          <w:numId w:val="1"/>
        </w:numPr>
        <w:spacing w:line="240" w:lineRule="auto"/>
        <w:rPr>
          <w:b/>
          <w:noProof/>
          <w:szCs w:val="22"/>
        </w:rPr>
      </w:pPr>
      <w:r>
        <w:rPr>
          <w:b/>
          <w:noProof/>
        </w:rPr>
        <w:t>REGISTRAČNÍ ČÍSLO</w:t>
      </w:r>
      <w:r w:rsidR="00334CFE">
        <w:rPr>
          <w:b/>
          <w:noProof/>
        </w:rPr>
        <w:t>/REGISTRAČNÍ ČÍSLA</w:t>
      </w:r>
      <w:r>
        <w:rPr>
          <w:b/>
          <w:noProof/>
        </w:rPr>
        <w:t xml:space="preserve"> </w:t>
      </w:r>
    </w:p>
    <w:p w14:paraId="5EB9447A" w14:textId="6957A657" w:rsidR="00812D16" w:rsidRDefault="00812D16" w:rsidP="0056212D">
      <w:pPr>
        <w:pStyle w:val="Normln1"/>
        <w:keepNext/>
        <w:spacing w:line="240" w:lineRule="auto"/>
        <w:rPr>
          <w:noProof/>
          <w:szCs w:val="22"/>
        </w:rPr>
      </w:pPr>
    </w:p>
    <w:p w14:paraId="629547FF" w14:textId="5AEF1E2A" w:rsidR="00406489" w:rsidRDefault="00406489" w:rsidP="0056212D">
      <w:pPr>
        <w:pStyle w:val="Normln1"/>
        <w:keepNext/>
        <w:spacing w:line="240" w:lineRule="auto"/>
        <w:rPr>
          <w:noProof/>
          <w:szCs w:val="22"/>
        </w:rPr>
      </w:pPr>
      <w:r w:rsidRPr="00406489">
        <w:rPr>
          <w:noProof/>
          <w:szCs w:val="22"/>
        </w:rPr>
        <w:t>63/433/19-C</w:t>
      </w:r>
    </w:p>
    <w:p w14:paraId="226525A0" w14:textId="77777777" w:rsidR="00406489" w:rsidRPr="00A26F79" w:rsidRDefault="00406489" w:rsidP="0056212D">
      <w:pPr>
        <w:pStyle w:val="Normln1"/>
        <w:keepNext/>
        <w:spacing w:line="240" w:lineRule="auto"/>
        <w:rPr>
          <w:noProof/>
          <w:szCs w:val="22"/>
        </w:rPr>
      </w:pPr>
    </w:p>
    <w:p w14:paraId="0484EE24" w14:textId="77777777" w:rsidR="00812D16" w:rsidRPr="008225EB" w:rsidRDefault="00812D16" w:rsidP="00204AAB">
      <w:pPr>
        <w:pStyle w:val="Normln1"/>
        <w:spacing w:line="240" w:lineRule="auto"/>
        <w:rPr>
          <w:noProof/>
          <w:szCs w:val="22"/>
        </w:rPr>
      </w:pPr>
    </w:p>
    <w:p w14:paraId="7AB08B2E" w14:textId="77777777" w:rsidR="00812D16" w:rsidRPr="008225EB" w:rsidRDefault="001E3814" w:rsidP="00AD7832">
      <w:pPr>
        <w:pStyle w:val="Normln1"/>
        <w:keepNext/>
        <w:numPr>
          <w:ilvl w:val="0"/>
          <w:numId w:val="1"/>
        </w:numPr>
        <w:spacing w:line="240" w:lineRule="auto"/>
        <w:rPr>
          <w:noProof/>
          <w:szCs w:val="22"/>
        </w:rPr>
      </w:pPr>
      <w:r>
        <w:rPr>
          <w:b/>
          <w:noProof/>
        </w:rPr>
        <w:t>DATUM PRVNÍ REGISTRACE/PRODLOUŽENÍ REGISTRACE</w:t>
      </w:r>
    </w:p>
    <w:p w14:paraId="61D85513" w14:textId="77777777" w:rsidR="00812D16" w:rsidRPr="00A3136F" w:rsidRDefault="00812D16" w:rsidP="0056212D">
      <w:pPr>
        <w:pStyle w:val="Normln1"/>
        <w:keepNext/>
        <w:spacing w:line="240" w:lineRule="auto"/>
        <w:rPr>
          <w:i/>
          <w:noProof/>
          <w:szCs w:val="22"/>
        </w:rPr>
      </w:pPr>
    </w:p>
    <w:p w14:paraId="3DA1BB1F" w14:textId="3F9FA975" w:rsidR="00812D16" w:rsidRPr="007B42D3" w:rsidRDefault="001E3814" w:rsidP="007A110B">
      <w:pPr>
        <w:pStyle w:val="Normln1"/>
        <w:spacing w:line="240" w:lineRule="auto"/>
        <w:rPr>
          <w:noProof/>
          <w:szCs w:val="22"/>
        </w:rPr>
      </w:pPr>
      <w:r>
        <w:t xml:space="preserve">Datum první registrace: </w:t>
      </w:r>
      <w:r w:rsidR="00F24B4B" w:rsidRPr="00F24B4B">
        <w:t>7. 9. 2021</w:t>
      </w:r>
    </w:p>
    <w:p w14:paraId="009460EB" w14:textId="77777777" w:rsidR="00812D16" w:rsidRPr="006B4557" w:rsidRDefault="00812D16" w:rsidP="00204AAB">
      <w:pPr>
        <w:pStyle w:val="Normln1"/>
        <w:spacing w:line="240" w:lineRule="auto"/>
        <w:rPr>
          <w:noProof/>
          <w:szCs w:val="22"/>
        </w:rPr>
      </w:pPr>
    </w:p>
    <w:p w14:paraId="5756C3E1" w14:textId="77777777" w:rsidR="00812D16" w:rsidRPr="007B42D3" w:rsidRDefault="00812D16" w:rsidP="00204AAB">
      <w:pPr>
        <w:pStyle w:val="Normln1"/>
        <w:spacing w:line="240" w:lineRule="auto"/>
        <w:rPr>
          <w:noProof/>
          <w:szCs w:val="22"/>
        </w:rPr>
      </w:pPr>
    </w:p>
    <w:p w14:paraId="36A56489" w14:textId="77777777" w:rsidR="00812D16" w:rsidRPr="00067B16" w:rsidRDefault="001E3814" w:rsidP="00AD7832">
      <w:pPr>
        <w:pStyle w:val="Normln1"/>
        <w:keepNext/>
        <w:numPr>
          <w:ilvl w:val="0"/>
          <w:numId w:val="1"/>
        </w:numPr>
        <w:spacing w:line="240" w:lineRule="auto"/>
        <w:rPr>
          <w:b/>
          <w:noProof/>
          <w:szCs w:val="22"/>
        </w:rPr>
      </w:pPr>
      <w:r>
        <w:rPr>
          <w:b/>
          <w:noProof/>
        </w:rPr>
        <w:t>DATUM REVIZE TEXTU</w:t>
      </w:r>
    </w:p>
    <w:p w14:paraId="020E99E4" w14:textId="77777777" w:rsidR="00812D16" w:rsidRPr="00067B16" w:rsidRDefault="00812D16" w:rsidP="0056212D">
      <w:pPr>
        <w:pStyle w:val="Normln1"/>
        <w:keepNext/>
        <w:spacing w:line="240" w:lineRule="auto"/>
        <w:rPr>
          <w:noProof/>
          <w:szCs w:val="22"/>
        </w:rPr>
      </w:pPr>
    </w:p>
    <w:p w14:paraId="6B6A20F4" w14:textId="1D6A373A" w:rsidR="008929AA" w:rsidRPr="006B4557" w:rsidRDefault="007857F2" w:rsidP="00204AAB">
      <w:pPr>
        <w:pStyle w:val="Normln1"/>
        <w:numPr>
          <w:ilvl w:val="12"/>
          <w:numId w:val="0"/>
        </w:numPr>
        <w:spacing w:line="240" w:lineRule="auto"/>
        <w:ind w:right="-2"/>
        <w:rPr>
          <w:noProof/>
          <w:szCs w:val="22"/>
        </w:rPr>
      </w:pPr>
      <w:r w:rsidRPr="007857F2">
        <w:rPr>
          <w:noProof/>
          <w:szCs w:val="22"/>
        </w:rPr>
        <w:t>7. 9. 2021</w:t>
      </w:r>
    </w:p>
    <w:p w14:paraId="617F271A" w14:textId="77777777" w:rsidR="008929AA" w:rsidRPr="008929AA" w:rsidRDefault="008929AA" w:rsidP="00204AAB">
      <w:pPr>
        <w:pStyle w:val="Normln1"/>
        <w:numPr>
          <w:ilvl w:val="12"/>
          <w:numId w:val="0"/>
        </w:numPr>
        <w:spacing w:line="240" w:lineRule="auto"/>
        <w:ind w:right="-2"/>
        <w:rPr>
          <w:noProof/>
          <w:szCs w:val="22"/>
        </w:rPr>
      </w:pPr>
    </w:p>
    <w:sectPr w:rsidR="008929AA" w:rsidRPr="008929AA" w:rsidSect="00351E18">
      <w:footerReference w:type="default" r:id="rId13"/>
      <w:footerReference w:type="first" r:id="rId14"/>
      <w:endnotePr>
        <w:numFmt w:val="decimal"/>
      </w:endnotePr>
      <w:pgSz w:w="11907" w:h="16840" w:code="9"/>
      <w:pgMar w:top="1417" w:right="1417" w:bottom="1417" w:left="1417" w:header="737" w:footer="737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24B48" w16cex:dateUtc="2021-08-02T08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2F9DD" w14:textId="77777777" w:rsidR="0099763D" w:rsidRDefault="0099763D">
      <w:r>
        <w:separator/>
      </w:r>
    </w:p>
  </w:endnote>
  <w:endnote w:type="continuationSeparator" w:id="0">
    <w:p w14:paraId="3AF36C19" w14:textId="77777777" w:rsidR="0099763D" w:rsidRDefault="009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67A9E" w14:textId="77777777" w:rsidR="00C949A7" w:rsidRDefault="00C949A7">
    <w:pPr>
      <w:pStyle w:val="Zpat1"/>
      <w:tabs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slostrnky1"/>
        <w:rFonts w:cs="Arial"/>
      </w:rPr>
      <w:fldChar w:fldCharType="begin"/>
    </w:r>
    <w:r>
      <w:rPr>
        <w:rStyle w:val="slostrnky1"/>
        <w:rFonts w:cs="Arial"/>
      </w:rPr>
      <w:instrText xml:space="preserve">PAGE  </w:instrText>
    </w:r>
    <w:r>
      <w:rPr>
        <w:rStyle w:val="slostrnky1"/>
        <w:rFonts w:cs="Arial"/>
      </w:rPr>
      <w:fldChar w:fldCharType="separate"/>
    </w:r>
    <w:r>
      <w:rPr>
        <w:rStyle w:val="slostrnky1"/>
        <w:rFonts w:cs="Arial"/>
      </w:rPr>
      <w:t>2</w:t>
    </w:r>
    <w:r>
      <w:rPr>
        <w:rStyle w:val="slostrnky1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6CFDC" w14:textId="77777777" w:rsidR="00C949A7" w:rsidRDefault="00C949A7">
    <w:pPr>
      <w:pStyle w:val="Zpat1"/>
      <w:tabs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slostrnky1"/>
        <w:rFonts w:cs="Arial"/>
      </w:rPr>
      <w:fldChar w:fldCharType="begin"/>
    </w:r>
    <w:r>
      <w:rPr>
        <w:rStyle w:val="slostrnky1"/>
        <w:rFonts w:cs="Arial"/>
      </w:rPr>
      <w:instrText xml:space="preserve">PAGE  </w:instrText>
    </w:r>
    <w:r>
      <w:rPr>
        <w:rStyle w:val="slostrnky1"/>
        <w:rFonts w:cs="Arial"/>
      </w:rPr>
      <w:fldChar w:fldCharType="separate"/>
    </w:r>
    <w:r>
      <w:rPr>
        <w:rStyle w:val="slostrnky1"/>
        <w:rFonts w:cs="Arial"/>
      </w:rPr>
      <w:t>1</w:t>
    </w:r>
    <w:r>
      <w:rPr>
        <w:rStyle w:val="slostrnky1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00DE8" w14:textId="77777777" w:rsidR="0099763D" w:rsidRDefault="0099763D">
      <w:r>
        <w:separator/>
      </w:r>
    </w:p>
  </w:footnote>
  <w:footnote w:type="continuationSeparator" w:id="0">
    <w:p w14:paraId="3C7D8609" w14:textId="77777777" w:rsidR="0099763D" w:rsidRDefault="00997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B87"/>
    <w:multiLevelType w:val="multilevel"/>
    <w:tmpl w:val="34B8E46A"/>
    <w:name w:val="NumListGen014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936"/>
        </w:tabs>
        <w:ind w:left="936" w:hanging="93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93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36"/>
        </w:tabs>
        <w:ind w:left="936" w:hanging="935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36"/>
        </w:tabs>
        <w:ind w:left="936" w:hanging="935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936"/>
        </w:tabs>
        <w:ind w:left="936" w:hanging="936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835"/>
        </w:tabs>
        <w:ind w:left="936" w:hanging="936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3811"/>
        </w:tabs>
        <w:ind w:left="3811" w:hanging="38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4772"/>
        </w:tabs>
        <w:ind w:left="477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29"/>
        </w:tabs>
        <w:ind w:left="5129" w:hanging="357"/>
      </w:pPr>
      <w:rPr>
        <w:rFonts w:hint="default"/>
      </w:rPr>
    </w:lvl>
  </w:abstractNum>
  <w:abstractNum w:abstractNumId="1" w15:restartNumberingAfterBreak="0">
    <w:nsid w:val="04E7427A"/>
    <w:multiLevelType w:val="hybridMultilevel"/>
    <w:tmpl w:val="0BBA53A2"/>
    <w:lvl w:ilvl="0" w:tplc="2FB4898A">
      <w:start w:val="1"/>
      <w:numFmt w:val="bullet"/>
      <w:pStyle w:val="Level6Bullet2"/>
      <w:lvlText w:val="-"/>
      <w:lvlJc w:val="left"/>
      <w:pPr>
        <w:tabs>
          <w:tab w:val="num" w:pos="2296"/>
        </w:tabs>
        <w:ind w:left="2296" w:hanging="453"/>
      </w:pPr>
      <w:rPr>
        <w:rFonts w:ascii="Times New Roman" w:hAnsi="Times New Roman" w:cs="Times New Roman" w:hint="default"/>
        <w:color w:val="auto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3641D"/>
    <w:multiLevelType w:val="hybridMultilevel"/>
    <w:tmpl w:val="0EC28A0E"/>
    <w:lvl w:ilvl="0" w:tplc="5CB2A644">
      <w:start w:val="1"/>
      <w:numFmt w:val="bullet"/>
      <w:pStyle w:val="Level5Bullet"/>
      <w:lvlText w:val=""/>
      <w:lvlJc w:val="left"/>
      <w:pPr>
        <w:tabs>
          <w:tab w:val="num" w:pos="1389"/>
        </w:tabs>
        <w:ind w:left="1389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03C6E"/>
    <w:multiLevelType w:val="hybridMultilevel"/>
    <w:tmpl w:val="E5487DB8"/>
    <w:lvl w:ilvl="0" w:tplc="7F44F1E0">
      <w:start w:val="1"/>
      <w:numFmt w:val="bullet"/>
      <w:pStyle w:val="Level5Bullet2"/>
      <w:lvlText w:val="-"/>
      <w:lvlJc w:val="left"/>
      <w:pPr>
        <w:tabs>
          <w:tab w:val="num" w:pos="1843"/>
        </w:tabs>
        <w:ind w:left="1843" w:hanging="454"/>
      </w:pPr>
      <w:rPr>
        <w:rFonts w:ascii="Times New Roman" w:hAnsi="Times New Roman" w:cs="Times New Roman" w:hint="default"/>
        <w:color w:val="auto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66318"/>
    <w:multiLevelType w:val="singleLevel"/>
    <w:tmpl w:val="1A8814D8"/>
    <w:lvl w:ilvl="0">
      <w:start w:val="1"/>
      <w:numFmt w:val="decimal"/>
      <w:lvlRestart w:val="0"/>
      <w:pStyle w:val="ReferenceList"/>
      <w:lvlText w:val="%1"/>
      <w:lvlJc w:val="left"/>
      <w:pPr>
        <w:tabs>
          <w:tab w:val="num" w:pos="1559"/>
        </w:tabs>
        <w:ind w:left="1559" w:hanging="624"/>
      </w:pPr>
    </w:lvl>
  </w:abstractNum>
  <w:abstractNum w:abstractNumId="5" w15:restartNumberingAfterBreak="0">
    <w:nsid w:val="22486DC3"/>
    <w:multiLevelType w:val="singleLevel"/>
    <w:tmpl w:val="5164BBF6"/>
    <w:lvl w:ilvl="0">
      <w:start w:val="1"/>
      <w:numFmt w:val="bullet"/>
      <w:pStyle w:val="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443E04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42672CC9"/>
    <w:multiLevelType w:val="multilevel"/>
    <w:tmpl w:val="628063C8"/>
    <w:name w:val="AppendixList"/>
    <w:styleLink w:val="AppendixList"/>
    <w:lvl w:ilvl="0">
      <w:start w:val="1"/>
      <w:numFmt w:val="decimal"/>
      <w:pStyle w:val="Appendix"/>
      <w:suff w:val="space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F44FF6"/>
    <w:multiLevelType w:val="hybridMultilevel"/>
    <w:tmpl w:val="724C6E18"/>
    <w:lvl w:ilvl="0" w:tplc="A1584924">
      <w:start w:val="1"/>
      <w:numFmt w:val="bullet"/>
      <w:pStyle w:val="Level6Bullet"/>
      <w:lvlText w:val=""/>
      <w:lvlJc w:val="left"/>
      <w:pPr>
        <w:tabs>
          <w:tab w:val="num" w:pos="1843"/>
        </w:tabs>
        <w:ind w:left="1843" w:hanging="454"/>
      </w:pPr>
      <w:rPr>
        <w:rFonts w:ascii="Symbol" w:hAnsi="Symbol" w:hint="default"/>
        <w:b w:val="0"/>
        <w:i w:val="0"/>
        <w:color w:val="auto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657C9"/>
    <w:multiLevelType w:val="multilevel"/>
    <w:tmpl w:val="1926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4636EAE"/>
    <w:multiLevelType w:val="multilevel"/>
    <w:tmpl w:val="11A08CE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urrentDocumentTemplateVersion" w:val="5.0.11.0"/>
    <w:docVar w:name="PrefixType" w:val="1"/>
    <w:docVar w:name="Registered" w:val="-1"/>
    <w:docVar w:name="Version" w:val="0"/>
  </w:docVars>
  <w:rsids>
    <w:rsidRoot w:val="00812D16"/>
    <w:rsid w:val="00000D62"/>
    <w:rsid w:val="00001587"/>
    <w:rsid w:val="00001D44"/>
    <w:rsid w:val="0000362A"/>
    <w:rsid w:val="00005701"/>
    <w:rsid w:val="00005B05"/>
    <w:rsid w:val="00007528"/>
    <w:rsid w:val="0001164F"/>
    <w:rsid w:val="00014869"/>
    <w:rsid w:val="000150D3"/>
    <w:rsid w:val="00015F0A"/>
    <w:rsid w:val="000166C1"/>
    <w:rsid w:val="00017B28"/>
    <w:rsid w:val="0002006B"/>
    <w:rsid w:val="00020AE8"/>
    <w:rsid w:val="000212BB"/>
    <w:rsid w:val="00023A2C"/>
    <w:rsid w:val="00025EBE"/>
    <w:rsid w:val="00025FFB"/>
    <w:rsid w:val="00026BF2"/>
    <w:rsid w:val="000271F6"/>
    <w:rsid w:val="00030445"/>
    <w:rsid w:val="000318C7"/>
    <w:rsid w:val="00033D26"/>
    <w:rsid w:val="00033FDB"/>
    <w:rsid w:val="000344F6"/>
    <w:rsid w:val="00042263"/>
    <w:rsid w:val="00043505"/>
    <w:rsid w:val="00043C70"/>
    <w:rsid w:val="00043E88"/>
    <w:rsid w:val="00044042"/>
    <w:rsid w:val="000474D2"/>
    <w:rsid w:val="000479C5"/>
    <w:rsid w:val="00050DFD"/>
    <w:rsid w:val="00053809"/>
    <w:rsid w:val="00053914"/>
    <w:rsid w:val="00054756"/>
    <w:rsid w:val="000560C5"/>
    <w:rsid w:val="00056C49"/>
    <w:rsid w:val="00056FE0"/>
    <w:rsid w:val="000603C8"/>
    <w:rsid w:val="000608A4"/>
    <w:rsid w:val="00060AA1"/>
    <w:rsid w:val="000631FD"/>
    <w:rsid w:val="000643D3"/>
    <w:rsid w:val="000649A0"/>
    <w:rsid w:val="00066F1A"/>
    <w:rsid w:val="00067B16"/>
    <w:rsid w:val="00071F8A"/>
    <w:rsid w:val="00073E04"/>
    <w:rsid w:val="0007401B"/>
    <w:rsid w:val="0007628D"/>
    <w:rsid w:val="00081DAB"/>
    <w:rsid w:val="000849CD"/>
    <w:rsid w:val="00092829"/>
    <w:rsid w:val="00092B09"/>
    <w:rsid w:val="0009351E"/>
    <w:rsid w:val="0009479A"/>
    <w:rsid w:val="00094AD6"/>
    <w:rsid w:val="0009520C"/>
    <w:rsid w:val="00095D61"/>
    <w:rsid w:val="00095E44"/>
    <w:rsid w:val="00096D8D"/>
    <w:rsid w:val="0009755A"/>
    <w:rsid w:val="000A1232"/>
    <w:rsid w:val="000A30E5"/>
    <w:rsid w:val="000A40D0"/>
    <w:rsid w:val="000B0097"/>
    <w:rsid w:val="000B101F"/>
    <w:rsid w:val="000B1F4B"/>
    <w:rsid w:val="000B2F27"/>
    <w:rsid w:val="000B2F58"/>
    <w:rsid w:val="000B37A8"/>
    <w:rsid w:val="000B51D9"/>
    <w:rsid w:val="000B66A8"/>
    <w:rsid w:val="000C03FB"/>
    <w:rsid w:val="000C308F"/>
    <w:rsid w:val="000C3E6B"/>
    <w:rsid w:val="000C563D"/>
    <w:rsid w:val="000C5A4E"/>
    <w:rsid w:val="000C635D"/>
    <w:rsid w:val="000C7D40"/>
    <w:rsid w:val="000C7F49"/>
    <w:rsid w:val="000D1AEE"/>
    <w:rsid w:val="000D1F4F"/>
    <w:rsid w:val="000D4D07"/>
    <w:rsid w:val="000D7535"/>
    <w:rsid w:val="000E165D"/>
    <w:rsid w:val="000E1BAF"/>
    <w:rsid w:val="000E223E"/>
    <w:rsid w:val="000E2491"/>
    <w:rsid w:val="000E2EA9"/>
    <w:rsid w:val="000E46A3"/>
    <w:rsid w:val="000E4E88"/>
    <w:rsid w:val="000E5726"/>
    <w:rsid w:val="000E6C94"/>
    <w:rsid w:val="000F1BB2"/>
    <w:rsid w:val="000F217A"/>
    <w:rsid w:val="000F3F94"/>
    <w:rsid w:val="000F5235"/>
    <w:rsid w:val="000F5B21"/>
    <w:rsid w:val="00103501"/>
    <w:rsid w:val="00103B2D"/>
    <w:rsid w:val="00103CD2"/>
    <w:rsid w:val="00104061"/>
    <w:rsid w:val="00107236"/>
    <w:rsid w:val="0010785A"/>
    <w:rsid w:val="001101A2"/>
    <w:rsid w:val="001106F7"/>
    <w:rsid w:val="001108A9"/>
    <w:rsid w:val="00110927"/>
    <w:rsid w:val="00111B7E"/>
    <w:rsid w:val="00112EDA"/>
    <w:rsid w:val="00114174"/>
    <w:rsid w:val="00117C1D"/>
    <w:rsid w:val="00121976"/>
    <w:rsid w:val="00122EF9"/>
    <w:rsid w:val="00123688"/>
    <w:rsid w:val="00127F47"/>
    <w:rsid w:val="00133572"/>
    <w:rsid w:val="001364FB"/>
    <w:rsid w:val="001365F2"/>
    <w:rsid w:val="00136D7A"/>
    <w:rsid w:val="001374C5"/>
    <w:rsid w:val="00137554"/>
    <w:rsid w:val="00140476"/>
    <w:rsid w:val="00141470"/>
    <w:rsid w:val="00141540"/>
    <w:rsid w:val="001449DF"/>
    <w:rsid w:val="00145459"/>
    <w:rsid w:val="0014569B"/>
    <w:rsid w:val="001470E0"/>
    <w:rsid w:val="00150060"/>
    <w:rsid w:val="00154C69"/>
    <w:rsid w:val="0015704C"/>
    <w:rsid w:val="00157895"/>
    <w:rsid w:val="00161701"/>
    <w:rsid w:val="00161E87"/>
    <w:rsid w:val="00163026"/>
    <w:rsid w:val="0016566C"/>
    <w:rsid w:val="001727F0"/>
    <w:rsid w:val="00172B06"/>
    <w:rsid w:val="0017347E"/>
    <w:rsid w:val="001752D8"/>
    <w:rsid w:val="00175931"/>
    <w:rsid w:val="00176B25"/>
    <w:rsid w:val="0018238B"/>
    <w:rsid w:val="001829A3"/>
    <w:rsid w:val="00183076"/>
    <w:rsid w:val="00183419"/>
    <w:rsid w:val="0018394A"/>
    <w:rsid w:val="00184DCC"/>
    <w:rsid w:val="00186A9D"/>
    <w:rsid w:val="001874A6"/>
    <w:rsid w:val="0018765B"/>
    <w:rsid w:val="00190913"/>
    <w:rsid w:val="0019236A"/>
    <w:rsid w:val="00193B21"/>
    <w:rsid w:val="00193DD3"/>
    <w:rsid w:val="001948AA"/>
    <w:rsid w:val="00195F65"/>
    <w:rsid w:val="001A07E2"/>
    <w:rsid w:val="001A0A5D"/>
    <w:rsid w:val="001A0B39"/>
    <w:rsid w:val="001A2018"/>
    <w:rsid w:val="001A29F2"/>
    <w:rsid w:val="001A3D70"/>
    <w:rsid w:val="001A56F1"/>
    <w:rsid w:val="001A5D0E"/>
    <w:rsid w:val="001B01C8"/>
    <w:rsid w:val="001B0B52"/>
    <w:rsid w:val="001B13F6"/>
    <w:rsid w:val="001B1747"/>
    <w:rsid w:val="001B2D44"/>
    <w:rsid w:val="001B752A"/>
    <w:rsid w:val="001C12FB"/>
    <w:rsid w:val="001C2DB4"/>
    <w:rsid w:val="001C3228"/>
    <w:rsid w:val="001C35E9"/>
    <w:rsid w:val="001C36BD"/>
    <w:rsid w:val="001C3733"/>
    <w:rsid w:val="001C49B3"/>
    <w:rsid w:val="001C5B30"/>
    <w:rsid w:val="001C6A07"/>
    <w:rsid w:val="001D2953"/>
    <w:rsid w:val="001D3C05"/>
    <w:rsid w:val="001D3DDB"/>
    <w:rsid w:val="001D6AF4"/>
    <w:rsid w:val="001E0CC1"/>
    <w:rsid w:val="001E1C10"/>
    <w:rsid w:val="001E3814"/>
    <w:rsid w:val="001E3CC0"/>
    <w:rsid w:val="001E77C3"/>
    <w:rsid w:val="001F0711"/>
    <w:rsid w:val="001F090B"/>
    <w:rsid w:val="001F180A"/>
    <w:rsid w:val="001F1A28"/>
    <w:rsid w:val="001F1AD0"/>
    <w:rsid w:val="001F2658"/>
    <w:rsid w:val="001F35E8"/>
    <w:rsid w:val="001F4014"/>
    <w:rsid w:val="001F445E"/>
    <w:rsid w:val="001F6423"/>
    <w:rsid w:val="00201213"/>
    <w:rsid w:val="0020165E"/>
    <w:rsid w:val="0020272E"/>
    <w:rsid w:val="00202E50"/>
    <w:rsid w:val="00204AAB"/>
    <w:rsid w:val="00205180"/>
    <w:rsid w:val="002072BD"/>
    <w:rsid w:val="00207F81"/>
    <w:rsid w:val="002109F4"/>
    <w:rsid w:val="00211FDA"/>
    <w:rsid w:val="00212902"/>
    <w:rsid w:val="00215FDA"/>
    <w:rsid w:val="002160C2"/>
    <w:rsid w:val="00222BB9"/>
    <w:rsid w:val="002258D6"/>
    <w:rsid w:val="002274FB"/>
    <w:rsid w:val="002309D2"/>
    <w:rsid w:val="00231B61"/>
    <w:rsid w:val="00232C35"/>
    <w:rsid w:val="0023315B"/>
    <w:rsid w:val="002347FE"/>
    <w:rsid w:val="00234D08"/>
    <w:rsid w:val="00236E81"/>
    <w:rsid w:val="0024178D"/>
    <w:rsid w:val="0024392B"/>
    <w:rsid w:val="002450C6"/>
    <w:rsid w:val="00245DCF"/>
    <w:rsid w:val="00246C65"/>
    <w:rsid w:val="0024721F"/>
    <w:rsid w:val="00251A10"/>
    <w:rsid w:val="00252BFF"/>
    <w:rsid w:val="00252F02"/>
    <w:rsid w:val="0025349D"/>
    <w:rsid w:val="00253732"/>
    <w:rsid w:val="002542A8"/>
    <w:rsid w:val="00260A11"/>
    <w:rsid w:val="0026169A"/>
    <w:rsid w:val="00262763"/>
    <w:rsid w:val="00264BEA"/>
    <w:rsid w:val="00265895"/>
    <w:rsid w:val="0026631E"/>
    <w:rsid w:val="00267850"/>
    <w:rsid w:val="00267D53"/>
    <w:rsid w:val="00271032"/>
    <w:rsid w:val="00272EAA"/>
    <w:rsid w:val="00273E3E"/>
    <w:rsid w:val="00274147"/>
    <w:rsid w:val="00275189"/>
    <w:rsid w:val="002756DC"/>
    <w:rsid w:val="00276412"/>
    <w:rsid w:val="00276437"/>
    <w:rsid w:val="00280053"/>
    <w:rsid w:val="0028063F"/>
    <w:rsid w:val="00280740"/>
    <w:rsid w:val="00282507"/>
    <w:rsid w:val="00283B02"/>
    <w:rsid w:val="00283C5D"/>
    <w:rsid w:val="002844B0"/>
    <w:rsid w:val="002856C0"/>
    <w:rsid w:val="00286322"/>
    <w:rsid w:val="00294C39"/>
    <w:rsid w:val="00296B03"/>
    <w:rsid w:val="00296C1F"/>
    <w:rsid w:val="002A41E6"/>
    <w:rsid w:val="002A44C8"/>
    <w:rsid w:val="002A5E48"/>
    <w:rsid w:val="002B0059"/>
    <w:rsid w:val="002B0455"/>
    <w:rsid w:val="002B261C"/>
    <w:rsid w:val="002B2BEE"/>
    <w:rsid w:val="002B35C5"/>
    <w:rsid w:val="002B3935"/>
    <w:rsid w:val="002B406A"/>
    <w:rsid w:val="002B41D4"/>
    <w:rsid w:val="002B543F"/>
    <w:rsid w:val="002B6165"/>
    <w:rsid w:val="002B7D73"/>
    <w:rsid w:val="002C06E3"/>
    <w:rsid w:val="002C0801"/>
    <w:rsid w:val="002C145F"/>
    <w:rsid w:val="002C15C3"/>
    <w:rsid w:val="002C33B3"/>
    <w:rsid w:val="002C44B0"/>
    <w:rsid w:val="002C4E07"/>
    <w:rsid w:val="002C5D64"/>
    <w:rsid w:val="002C5DC3"/>
    <w:rsid w:val="002C69DF"/>
    <w:rsid w:val="002D0586"/>
    <w:rsid w:val="002D1023"/>
    <w:rsid w:val="002D1459"/>
    <w:rsid w:val="002D1470"/>
    <w:rsid w:val="002D21CF"/>
    <w:rsid w:val="002D3DB7"/>
    <w:rsid w:val="002D4705"/>
    <w:rsid w:val="002D52B9"/>
    <w:rsid w:val="002D5B65"/>
    <w:rsid w:val="002D6396"/>
    <w:rsid w:val="002D643D"/>
    <w:rsid w:val="002D7E5E"/>
    <w:rsid w:val="002E07BA"/>
    <w:rsid w:val="002E07EF"/>
    <w:rsid w:val="002E0D06"/>
    <w:rsid w:val="002E0DC5"/>
    <w:rsid w:val="002E1810"/>
    <w:rsid w:val="002E4E94"/>
    <w:rsid w:val="002F1F28"/>
    <w:rsid w:val="002F43CA"/>
    <w:rsid w:val="002F57AA"/>
    <w:rsid w:val="002F5843"/>
    <w:rsid w:val="002F6EF7"/>
    <w:rsid w:val="002F714C"/>
    <w:rsid w:val="002F7229"/>
    <w:rsid w:val="002F77BF"/>
    <w:rsid w:val="003004A2"/>
    <w:rsid w:val="00302389"/>
    <w:rsid w:val="00303DD5"/>
    <w:rsid w:val="00307B74"/>
    <w:rsid w:val="00310764"/>
    <w:rsid w:val="00311BFD"/>
    <w:rsid w:val="003138FE"/>
    <w:rsid w:val="00314718"/>
    <w:rsid w:val="0031488A"/>
    <w:rsid w:val="003175E1"/>
    <w:rsid w:val="00320203"/>
    <w:rsid w:val="00322002"/>
    <w:rsid w:val="00322FCD"/>
    <w:rsid w:val="003247B0"/>
    <w:rsid w:val="00324F2E"/>
    <w:rsid w:val="00325995"/>
    <w:rsid w:val="00325E81"/>
    <w:rsid w:val="00326948"/>
    <w:rsid w:val="00326B04"/>
    <w:rsid w:val="00327052"/>
    <w:rsid w:val="003316C3"/>
    <w:rsid w:val="00331AF8"/>
    <w:rsid w:val="003334FA"/>
    <w:rsid w:val="0033486D"/>
    <w:rsid w:val="00334CFE"/>
    <w:rsid w:val="00335228"/>
    <w:rsid w:val="003367C4"/>
    <w:rsid w:val="00336D8E"/>
    <w:rsid w:val="003376B3"/>
    <w:rsid w:val="00344BB6"/>
    <w:rsid w:val="00345F9C"/>
    <w:rsid w:val="00347776"/>
    <w:rsid w:val="00351010"/>
    <w:rsid w:val="00351A91"/>
    <w:rsid w:val="00351E18"/>
    <w:rsid w:val="003520C4"/>
    <w:rsid w:val="003533AE"/>
    <w:rsid w:val="00355E14"/>
    <w:rsid w:val="00357C5E"/>
    <w:rsid w:val="003608BD"/>
    <w:rsid w:val="00361280"/>
    <w:rsid w:val="003615F1"/>
    <w:rsid w:val="00361A6E"/>
    <w:rsid w:val="003626AF"/>
    <w:rsid w:val="00363D7F"/>
    <w:rsid w:val="0036655E"/>
    <w:rsid w:val="00366E52"/>
    <w:rsid w:val="00367C66"/>
    <w:rsid w:val="003700B2"/>
    <w:rsid w:val="0037233D"/>
    <w:rsid w:val="003736EF"/>
    <w:rsid w:val="003737E3"/>
    <w:rsid w:val="00380781"/>
    <w:rsid w:val="00380A1A"/>
    <w:rsid w:val="00380D80"/>
    <w:rsid w:val="0038500E"/>
    <w:rsid w:val="00385A87"/>
    <w:rsid w:val="00385F4D"/>
    <w:rsid w:val="0038761D"/>
    <w:rsid w:val="00390457"/>
    <w:rsid w:val="003906F8"/>
    <w:rsid w:val="003935EE"/>
    <w:rsid w:val="00393EE9"/>
    <w:rsid w:val="0039408A"/>
    <w:rsid w:val="003945F5"/>
    <w:rsid w:val="0039673D"/>
    <w:rsid w:val="003975DA"/>
    <w:rsid w:val="00397893"/>
    <w:rsid w:val="003A2407"/>
    <w:rsid w:val="003A2CF0"/>
    <w:rsid w:val="003A33D3"/>
    <w:rsid w:val="003A3880"/>
    <w:rsid w:val="003A4B52"/>
    <w:rsid w:val="003A5BC5"/>
    <w:rsid w:val="003A5D55"/>
    <w:rsid w:val="003A75E6"/>
    <w:rsid w:val="003B255B"/>
    <w:rsid w:val="003B2BD0"/>
    <w:rsid w:val="003B3317"/>
    <w:rsid w:val="003B3608"/>
    <w:rsid w:val="003B4B2F"/>
    <w:rsid w:val="003B4C50"/>
    <w:rsid w:val="003B52D4"/>
    <w:rsid w:val="003C1CA5"/>
    <w:rsid w:val="003C1EC7"/>
    <w:rsid w:val="003C3D8E"/>
    <w:rsid w:val="003C5052"/>
    <w:rsid w:val="003C5BE0"/>
    <w:rsid w:val="003C5E61"/>
    <w:rsid w:val="003C64A0"/>
    <w:rsid w:val="003C6F0B"/>
    <w:rsid w:val="003C7BA3"/>
    <w:rsid w:val="003D3642"/>
    <w:rsid w:val="003D4E9C"/>
    <w:rsid w:val="003D5EE8"/>
    <w:rsid w:val="003E0D78"/>
    <w:rsid w:val="003E1CB1"/>
    <w:rsid w:val="003E3A1D"/>
    <w:rsid w:val="003E4A8F"/>
    <w:rsid w:val="003E6CA0"/>
    <w:rsid w:val="003F1F41"/>
    <w:rsid w:val="003F2FDE"/>
    <w:rsid w:val="003F330B"/>
    <w:rsid w:val="003F554E"/>
    <w:rsid w:val="003F6FDF"/>
    <w:rsid w:val="004016F5"/>
    <w:rsid w:val="00402E9C"/>
    <w:rsid w:val="004045AA"/>
    <w:rsid w:val="00404CAC"/>
    <w:rsid w:val="00404F91"/>
    <w:rsid w:val="0040549A"/>
    <w:rsid w:val="00405CC9"/>
    <w:rsid w:val="00406489"/>
    <w:rsid w:val="0040711E"/>
    <w:rsid w:val="00407D67"/>
    <w:rsid w:val="00412450"/>
    <w:rsid w:val="00412C94"/>
    <w:rsid w:val="004138DE"/>
    <w:rsid w:val="00413B39"/>
    <w:rsid w:val="00414B2F"/>
    <w:rsid w:val="00415E58"/>
    <w:rsid w:val="00416231"/>
    <w:rsid w:val="0041780F"/>
    <w:rsid w:val="004208AB"/>
    <w:rsid w:val="004219EF"/>
    <w:rsid w:val="00421A72"/>
    <w:rsid w:val="00424348"/>
    <w:rsid w:val="004247F2"/>
    <w:rsid w:val="00426CD9"/>
    <w:rsid w:val="00426DE2"/>
    <w:rsid w:val="00427F81"/>
    <w:rsid w:val="00430FEB"/>
    <w:rsid w:val="004310EE"/>
    <w:rsid w:val="00433677"/>
    <w:rsid w:val="004340D5"/>
    <w:rsid w:val="0043443F"/>
    <w:rsid w:val="00434880"/>
    <w:rsid w:val="00434A21"/>
    <w:rsid w:val="0043526D"/>
    <w:rsid w:val="004377B0"/>
    <w:rsid w:val="004460E9"/>
    <w:rsid w:val="00447B6F"/>
    <w:rsid w:val="00447E35"/>
    <w:rsid w:val="0045089A"/>
    <w:rsid w:val="00453623"/>
    <w:rsid w:val="00453C11"/>
    <w:rsid w:val="00454B91"/>
    <w:rsid w:val="004557B0"/>
    <w:rsid w:val="00457946"/>
    <w:rsid w:val="00457D8B"/>
    <w:rsid w:val="00460A17"/>
    <w:rsid w:val="00462F79"/>
    <w:rsid w:val="00463438"/>
    <w:rsid w:val="00463ECE"/>
    <w:rsid w:val="00465388"/>
    <w:rsid w:val="004677C9"/>
    <w:rsid w:val="0047002E"/>
    <w:rsid w:val="00470CB5"/>
    <w:rsid w:val="00471EAB"/>
    <w:rsid w:val="004723EE"/>
    <w:rsid w:val="00475A92"/>
    <w:rsid w:val="00477BB9"/>
    <w:rsid w:val="004800EF"/>
    <w:rsid w:val="004859EE"/>
    <w:rsid w:val="004866D9"/>
    <w:rsid w:val="00487366"/>
    <w:rsid w:val="004873E4"/>
    <w:rsid w:val="0049072C"/>
    <w:rsid w:val="00490FD1"/>
    <w:rsid w:val="00491AD2"/>
    <w:rsid w:val="004935C0"/>
    <w:rsid w:val="00493B43"/>
    <w:rsid w:val="00494EB1"/>
    <w:rsid w:val="00496414"/>
    <w:rsid w:val="00497A38"/>
    <w:rsid w:val="004A45BD"/>
    <w:rsid w:val="004A4656"/>
    <w:rsid w:val="004A77B0"/>
    <w:rsid w:val="004B08A9"/>
    <w:rsid w:val="004B1CED"/>
    <w:rsid w:val="004B34A7"/>
    <w:rsid w:val="004B3B06"/>
    <w:rsid w:val="004B3ED5"/>
    <w:rsid w:val="004B4643"/>
    <w:rsid w:val="004B7EFB"/>
    <w:rsid w:val="004B7F67"/>
    <w:rsid w:val="004C0496"/>
    <w:rsid w:val="004C06BE"/>
    <w:rsid w:val="004C0938"/>
    <w:rsid w:val="004C1994"/>
    <w:rsid w:val="004C1C3A"/>
    <w:rsid w:val="004C2E5C"/>
    <w:rsid w:val="004C66E3"/>
    <w:rsid w:val="004C70FC"/>
    <w:rsid w:val="004D09B0"/>
    <w:rsid w:val="004D2675"/>
    <w:rsid w:val="004D4080"/>
    <w:rsid w:val="004E05FD"/>
    <w:rsid w:val="004E1A0D"/>
    <w:rsid w:val="004E23F5"/>
    <w:rsid w:val="004E487C"/>
    <w:rsid w:val="004E5418"/>
    <w:rsid w:val="004E63E5"/>
    <w:rsid w:val="004E6B76"/>
    <w:rsid w:val="004F00A5"/>
    <w:rsid w:val="004F1437"/>
    <w:rsid w:val="004F1551"/>
    <w:rsid w:val="004F3540"/>
    <w:rsid w:val="004F4618"/>
    <w:rsid w:val="004F52DB"/>
    <w:rsid w:val="004F5624"/>
    <w:rsid w:val="004F5DA4"/>
    <w:rsid w:val="004F62B2"/>
    <w:rsid w:val="004F6424"/>
    <w:rsid w:val="005040CD"/>
    <w:rsid w:val="00505229"/>
    <w:rsid w:val="00507336"/>
    <w:rsid w:val="00507F98"/>
    <w:rsid w:val="005108A3"/>
    <w:rsid w:val="00510DB5"/>
    <w:rsid w:val="00510F6E"/>
    <w:rsid w:val="00511422"/>
    <w:rsid w:val="005118AE"/>
    <w:rsid w:val="0051212F"/>
    <w:rsid w:val="0051587A"/>
    <w:rsid w:val="005158FA"/>
    <w:rsid w:val="005169AD"/>
    <w:rsid w:val="005208B9"/>
    <w:rsid w:val="0052186C"/>
    <w:rsid w:val="005221F0"/>
    <w:rsid w:val="00523C54"/>
    <w:rsid w:val="00524807"/>
    <w:rsid w:val="005252FE"/>
    <w:rsid w:val="00525FF9"/>
    <w:rsid w:val="00532C41"/>
    <w:rsid w:val="00532D3F"/>
    <w:rsid w:val="0053386D"/>
    <w:rsid w:val="00533B5A"/>
    <w:rsid w:val="00534700"/>
    <w:rsid w:val="0053791F"/>
    <w:rsid w:val="00546622"/>
    <w:rsid w:val="00547538"/>
    <w:rsid w:val="00553015"/>
    <w:rsid w:val="00553BFA"/>
    <w:rsid w:val="00554D05"/>
    <w:rsid w:val="00554DB1"/>
    <w:rsid w:val="0056077E"/>
    <w:rsid w:val="00560EDA"/>
    <w:rsid w:val="0056212D"/>
    <w:rsid w:val="005629EE"/>
    <w:rsid w:val="005648FA"/>
    <w:rsid w:val="00564D50"/>
    <w:rsid w:val="00567346"/>
    <w:rsid w:val="0057371B"/>
    <w:rsid w:val="00575EB8"/>
    <w:rsid w:val="0057613A"/>
    <w:rsid w:val="00582A9B"/>
    <w:rsid w:val="005832AB"/>
    <w:rsid w:val="00583D5A"/>
    <w:rsid w:val="0058437C"/>
    <w:rsid w:val="005879D6"/>
    <w:rsid w:val="00587F07"/>
    <w:rsid w:val="005935F4"/>
    <w:rsid w:val="00593E0A"/>
    <w:rsid w:val="0059638A"/>
    <w:rsid w:val="005971B0"/>
    <w:rsid w:val="005A167F"/>
    <w:rsid w:val="005A346E"/>
    <w:rsid w:val="005A73CF"/>
    <w:rsid w:val="005B3F6F"/>
    <w:rsid w:val="005B798B"/>
    <w:rsid w:val="005C04C4"/>
    <w:rsid w:val="005C1FAE"/>
    <w:rsid w:val="005C240D"/>
    <w:rsid w:val="005C39E8"/>
    <w:rsid w:val="005C5660"/>
    <w:rsid w:val="005C71E4"/>
    <w:rsid w:val="005C72E3"/>
    <w:rsid w:val="005D11B2"/>
    <w:rsid w:val="005D2023"/>
    <w:rsid w:val="005D4788"/>
    <w:rsid w:val="005D4B68"/>
    <w:rsid w:val="005D65E7"/>
    <w:rsid w:val="005E11C1"/>
    <w:rsid w:val="005E2563"/>
    <w:rsid w:val="005E31AC"/>
    <w:rsid w:val="005E394C"/>
    <w:rsid w:val="005E42BF"/>
    <w:rsid w:val="005E4E70"/>
    <w:rsid w:val="005E555E"/>
    <w:rsid w:val="005E65BB"/>
    <w:rsid w:val="005F0230"/>
    <w:rsid w:val="005F0DA0"/>
    <w:rsid w:val="005F2767"/>
    <w:rsid w:val="005F4914"/>
    <w:rsid w:val="005F5A8A"/>
    <w:rsid w:val="005F62B7"/>
    <w:rsid w:val="005F67FC"/>
    <w:rsid w:val="005F6869"/>
    <w:rsid w:val="005F69CA"/>
    <w:rsid w:val="005F6BB9"/>
    <w:rsid w:val="00603148"/>
    <w:rsid w:val="00606FC7"/>
    <w:rsid w:val="006100E7"/>
    <w:rsid w:val="00610456"/>
    <w:rsid w:val="00611473"/>
    <w:rsid w:val="00611B36"/>
    <w:rsid w:val="00613A2C"/>
    <w:rsid w:val="00613A34"/>
    <w:rsid w:val="00615ADA"/>
    <w:rsid w:val="00617888"/>
    <w:rsid w:val="006221CD"/>
    <w:rsid w:val="00622220"/>
    <w:rsid w:val="00623894"/>
    <w:rsid w:val="006266A9"/>
    <w:rsid w:val="00630426"/>
    <w:rsid w:val="00631485"/>
    <w:rsid w:val="006316C1"/>
    <w:rsid w:val="00631ED4"/>
    <w:rsid w:val="00633BC7"/>
    <w:rsid w:val="00635174"/>
    <w:rsid w:val="00635AC7"/>
    <w:rsid w:val="00635E9C"/>
    <w:rsid w:val="0063753F"/>
    <w:rsid w:val="00637B41"/>
    <w:rsid w:val="00640726"/>
    <w:rsid w:val="006414EE"/>
    <w:rsid w:val="00642524"/>
    <w:rsid w:val="00642A51"/>
    <w:rsid w:val="00642D0A"/>
    <w:rsid w:val="00643005"/>
    <w:rsid w:val="0064630E"/>
    <w:rsid w:val="00646FE1"/>
    <w:rsid w:val="00647075"/>
    <w:rsid w:val="00647219"/>
    <w:rsid w:val="00647E8C"/>
    <w:rsid w:val="0065043E"/>
    <w:rsid w:val="006521FD"/>
    <w:rsid w:val="00655062"/>
    <w:rsid w:val="0065581D"/>
    <w:rsid w:val="00655C2F"/>
    <w:rsid w:val="00660403"/>
    <w:rsid w:val="00661140"/>
    <w:rsid w:val="00663FF6"/>
    <w:rsid w:val="006654FA"/>
    <w:rsid w:val="006710DD"/>
    <w:rsid w:val="00671FC9"/>
    <w:rsid w:val="00673200"/>
    <w:rsid w:val="0067501E"/>
    <w:rsid w:val="006773D2"/>
    <w:rsid w:val="00680581"/>
    <w:rsid w:val="00681A41"/>
    <w:rsid w:val="006821B2"/>
    <w:rsid w:val="006838C0"/>
    <w:rsid w:val="00685901"/>
    <w:rsid w:val="00685BB9"/>
    <w:rsid w:val="00690127"/>
    <w:rsid w:val="00691BFF"/>
    <w:rsid w:val="00693471"/>
    <w:rsid w:val="006953C1"/>
    <w:rsid w:val="00695999"/>
    <w:rsid w:val="00696EB2"/>
    <w:rsid w:val="00697498"/>
    <w:rsid w:val="006A16E9"/>
    <w:rsid w:val="006A5450"/>
    <w:rsid w:val="006A727C"/>
    <w:rsid w:val="006B0199"/>
    <w:rsid w:val="006B0A32"/>
    <w:rsid w:val="006B0BD8"/>
    <w:rsid w:val="006B271C"/>
    <w:rsid w:val="006B33D9"/>
    <w:rsid w:val="006B4557"/>
    <w:rsid w:val="006B6306"/>
    <w:rsid w:val="006C0251"/>
    <w:rsid w:val="006C29D4"/>
    <w:rsid w:val="006C2B9A"/>
    <w:rsid w:val="006C39BB"/>
    <w:rsid w:val="006C3BBD"/>
    <w:rsid w:val="006C4502"/>
    <w:rsid w:val="006C6114"/>
    <w:rsid w:val="006D2288"/>
    <w:rsid w:val="006D376B"/>
    <w:rsid w:val="006D4464"/>
    <w:rsid w:val="006D5C58"/>
    <w:rsid w:val="006D5E91"/>
    <w:rsid w:val="006D6C2D"/>
    <w:rsid w:val="006D6E5F"/>
    <w:rsid w:val="006D7AF3"/>
    <w:rsid w:val="006D7E87"/>
    <w:rsid w:val="006E14E6"/>
    <w:rsid w:val="006E1AEE"/>
    <w:rsid w:val="006E2F52"/>
    <w:rsid w:val="006E32A9"/>
    <w:rsid w:val="006E3B9C"/>
    <w:rsid w:val="006E51A2"/>
    <w:rsid w:val="006E597E"/>
    <w:rsid w:val="006F04A2"/>
    <w:rsid w:val="006F0984"/>
    <w:rsid w:val="006F0DE2"/>
    <w:rsid w:val="006F11BD"/>
    <w:rsid w:val="006F12EE"/>
    <w:rsid w:val="006F1458"/>
    <w:rsid w:val="006F25B4"/>
    <w:rsid w:val="006F32C7"/>
    <w:rsid w:val="006F3392"/>
    <w:rsid w:val="006F3495"/>
    <w:rsid w:val="006F417D"/>
    <w:rsid w:val="006F5C83"/>
    <w:rsid w:val="006F5EE6"/>
    <w:rsid w:val="006F67CC"/>
    <w:rsid w:val="006F6B89"/>
    <w:rsid w:val="00701C2D"/>
    <w:rsid w:val="00702162"/>
    <w:rsid w:val="00703930"/>
    <w:rsid w:val="00704E6C"/>
    <w:rsid w:val="0070610E"/>
    <w:rsid w:val="00707759"/>
    <w:rsid w:val="00710081"/>
    <w:rsid w:val="00710B0D"/>
    <w:rsid w:val="00713CB5"/>
    <w:rsid w:val="00714E3F"/>
    <w:rsid w:val="0071558B"/>
    <w:rsid w:val="007170B2"/>
    <w:rsid w:val="0071776A"/>
    <w:rsid w:val="00721189"/>
    <w:rsid w:val="007221C3"/>
    <w:rsid w:val="007227E4"/>
    <w:rsid w:val="00722F2C"/>
    <w:rsid w:val="007254D1"/>
    <w:rsid w:val="00725B32"/>
    <w:rsid w:val="00725B3C"/>
    <w:rsid w:val="007278CD"/>
    <w:rsid w:val="00733D54"/>
    <w:rsid w:val="00734809"/>
    <w:rsid w:val="00736A4F"/>
    <w:rsid w:val="00737753"/>
    <w:rsid w:val="00737768"/>
    <w:rsid w:val="00740BB8"/>
    <w:rsid w:val="00740CE9"/>
    <w:rsid w:val="007428E3"/>
    <w:rsid w:val="00742DB8"/>
    <w:rsid w:val="0074394E"/>
    <w:rsid w:val="0074422D"/>
    <w:rsid w:val="00750D0A"/>
    <w:rsid w:val="00751D93"/>
    <w:rsid w:val="00752300"/>
    <w:rsid w:val="00753BF5"/>
    <w:rsid w:val="007546F8"/>
    <w:rsid w:val="007553E4"/>
    <w:rsid w:val="0075579B"/>
    <w:rsid w:val="00755BAB"/>
    <w:rsid w:val="0076080E"/>
    <w:rsid w:val="0076411D"/>
    <w:rsid w:val="007670F8"/>
    <w:rsid w:val="007671D4"/>
    <w:rsid w:val="00770A85"/>
    <w:rsid w:val="00772860"/>
    <w:rsid w:val="00773DC9"/>
    <w:rsid w:val="0077572E"/>
    <w:rsid w:val="00775EA7"/>
    <w:rsid w:val="00777BE4"/>
    <w:rsid w:val="0078031B"/>
    <w:rsid w:val="00784F44"/>
    <w:rsid w:val="00784F80"/>
    <w:rsid w:val="007857F2"/>
    <w:rsid w:val="00786672"/>
    <w:rsid w:val="007872CF"/>
    <w:rsid w:val="0079201C"/>
    <w:rsid w:val="0079307F"/>
    <w:rsid w:val="007940C5"/>
    <w:rsid w:val="007947C4"/>
    <w:rsid w:val="00795812"/>
    <w:rsid w:val="00795CE1"/>
    <w:rsid w:val="007A0646"/>
    <w:rsid w:val="007A06AC"/>
    <w:rsid w:val="007A110B"/>
    <w:rsid w:val="007A1978"/>
    <w:rsid w:val="007A1B2F"/>
    <w:rsid w:val="007A4636"/>
    <w:rsid w:val="007A54E2"/>
    <w:rsid w:val="007B1014"/>
    <w:rsid w:val="007B103F"/>
    <w:rsid w:val="007B1484"/>
    <w:rsid w:val="007B1A10"/>
    <w:rsid w:val="007B31AB"/>
    <w:rsid w:val="007B3268"/>
    <w:rsid w:val="007B37F1"/>
    <w:rsid w:val="007B42D3"/>
    <w:rsid w:val="007B46D9"/>
    <w:rsid w:val="007B6659"/>
    <w:rsid w:val="007B690C"/>
    <w:rsid w:val="007B6C39"/>
    <w:rsid w:val="007B76AB"/>
    <w:rsid w:val="007B7DBD"/>
    <w:rsid w:val="007C119F"/>
    <w:rsid w:val="007C264B"/>
    <w:rsid w:val="007C309E"/>
    <w:rsid w:val="007C3AEA"/>
    <w:rsid w:val="007C45D3"/>
    <w:rsid w:val="007C597B"/>
    <w:rsid w:val="007C6FFE"/>
    <w:rsid w:val="007C760C"/>
    <w:rsid w:val="007D08FD"/>
    <w:rsid w:val="007D1584"/>
    <w:rsid w:val="007D2044"/>
    <w:rsid w:val="007D4F33"/>
    <w:rsid w:val="007D554B"/>
    <w:rsid w:val="007D5F9A"/>
    <w:rsid w:val="007D65C7"/>
    <w:rsid w:val="007D6CB8"/>
    <w:rsid w:val="007D74D2"/>
    <w:rsid w:val="007D79B5"/>
    <w:rsid w:val="007D7B44"/>
    <w:rsid w:val="007E2334"/>
    <w:rsid w:val="007E23CE"/>
    <w:rsid w:val="007E2CE7"/>
    <w:rsid w:val="007E43D0"/>
    <w:rsid w:val="007E4F00"/>
    <w:rsid w:val="007E54F8"/>
    <w:rsid w:val="007E5987"/>
    <w:rsid w:val="007E5BD8"/>
    <w:rsid w:val="007E7BF9"/>
    <w:rsid w:val="007F02BC"/>
    <w:rsid w:val="007F1D17"/>
    <w:rsid w:val="007F20D7"/>
    <w:rsid w:val="007F2CE4"/>
    <w:rsid w:val="007F2E65"/>
    <w:rsid w:val="007F43BA"/>
    <w:rsid w:val="007F45D1"/>
    <w:rsid w:val="007F64BE"/>
    <w:rsid w:val="007F6DC3"/>
    <w:rsid w:val="008006B4"/>
    <w:rsid w:val="008015B6"/>
    <w:rsid w:val="00803FD4"/>
    <w:rsid w:val="0080481C"/>
    <w:rsid w:val="00804C54"/>
    <w:rsid w:val="008056DD"/>
    <w:rsid w:val="0081104C"/>
    <w:rsid w:val="008121F2"/>
    <w:rsid w:val="00812D16"/>
    <w:rsid w:val="00816C51"/>
    <w:rsid w:val="008202DD"/>
    <w:rsid w:val="008211D8"/>
    <w:rsid w:val="00821865"/>
    <w:rsid w:val="008225EB"/>
    <w:rsid w:val="0082327D"/>
    <w:rsid w:val="0082433D"/>
    <w:rsid w:val="00826509"/>
    <w:rsid w:val="008272E3"/>
    <w:rsid w:val="0083354D"/>
    <w:rsid w:val="0083561B"/>
    <w:rsid w:val="00837D78"/>
    <w:rsid w:val="00840D79"/>
    <w:rsid w:val="00842A21"/>
    <w:rsid w:val="00845DAD"/>
    <w:rsid w:val="00851377"/>
    <w:rsid w:val="008513C1"/>
    <w:rsid w:val="0085437C"/>
    <w:rsid w:val="00854B2F"/>
    <w:rsid w:val="00855481"/>
    <w:rsid w:val="0085592B"/>
    <w:rsid w:val="00856354"/>
    <w:rsid w:val="008568E1"/>
    <w:rsid w:val="00856BE9"/>
    <w:rsid w:val="008578F8"/>
    <w:rsid w:val="00860566"/>
    <w:rsid w:val="0086129A"/>
    <w:rsid w:val="0086165C"/>
    <w:rsid w:val="00861B26"/>
    <w:rsid w:val="00862EED"/>
    <w:rsid w:val="008643FC"/>
    <w:rsid w:val="008649B9"/>
    <w:rsid w:val="00865F3B"/>
    <w:rsid w:val="0086784F"/>
    <w:rsid w:val="008678FB"/>
    <w:rsid w:val="00867B35"/>
    <w:rsid w:val="00870394"/>
    <w:rsid w:val="0087073B"/>
    <w:rsid w:val="00871213"/>
    <w:rsid w:val="00873967"/>
    <w:rsid w:val="008743BB"/>
    <w:rsid w:val="008770D4"/>
    <w:rsid w:val="008800E5"/>
    <w:rsid w:val="0088127F"/>
    <w:rsid w:val="008815EF"/>
    <w:rsid w:val="00883ED5"/>
    <w:rsid w:val="00885273"/>
    <w:rsid w:val="00885F2C"/>
    <w:rsid w:val="008861F4"/>
    <w:rsid w:val="00886386"/>
    <w:rsid w:val="00886DDA"/>
    <w:rsid w:val="0088701C"/>
    <w:rsid w:val="0088746A"/>
    <w:rsid w:val="00891671"/>
    <w:rsid w:val="00892459"/>
    <w:rsid w:val="008929AA"/>
    <w:rsid w:val="00892AA5"/>
    <w:rsid w:val="0089499B"/>
    <w:rsid w:val="00894ACA"/>
    <w:rsid w:val="00894EC5"/>
    <w:rsid w:val="00896658"/>
    <w:rsid w:val="008967B5"/>
    <w:rsid w:val="00897FD9"/>
    <w:rsid w:val="008A03AC"/>
    <w:rsid w:val="008A1008"/>
    <w:rsid w:val="008A345A"/>
    <w:rsid w:val="008A3DB9"/>
    <w:rsid w:val="008A6A5C"/>
    <w:rsid w:val="008A7316"/>
    <w:rsid w:val="008A7AC3"/>
    <w:rsid w:val="008B4A1C"/>
    <w:rsid w:val="008B500A"/>
    <w:rsid w:val="008C051E"/>
    <w:rsid w:val="008C090B"/>
    <w:rsid w:val="008C1610"/>
    <w:rsid w:val="008C2F1E"/>
    <w:rsid w:val="008C30E5"/>
    <w:rsid w:val="008C3B5B"/>
    <w:rsid w:val="008C409F"/>
    <w:rsid w:val="008C602D"/>
    <w:rsid w:val="008C6BCC"/>
    <w:rsid w:val="008D098D"/>
    <w:rsid w:val="008D135A"/>
    <w:rsid w:val="008D2205"/>
    <w:rsid w:val="008D2331"/>
    <w:rsid w:val="008D347F"/>
    <w:rsid w:val="008D35AD"/>
    <w:rsid w:val="008D36CD"/>
    <w:rsid w:val="008D4380"/>
    <w:rsid w:val="008D48D1"/>
    <w:rsid w:val="008D6BE8"/>
    <w:rsid w:val="008E27E9"/>
    <w:rsid w:val="008E42DE"/>
    <w:rsid w:val="008E4E90"/>
    <w:rsid w:val="008F2C49"/>
    <w:rsid w:val="008F36F0"/>
    <w:rsid w:val="008F375A"/>
    <w:rsid w:val="008F66BC"/>
    <w:rsid w:val="008F6AB6"/>
    <w:rsid w:val="008F7CFF"/>
    <w:rsid w:val="008F7ED1"/>
    <w:rsid w:val="00901C8D"/>
    <w:rsid w:val="009044C9"/>
    <w:rsid w:val="00904A4D"/>
    <w:rsid w:val="00905643"/>
    <w:rsid w:val="00905EE9"/>
    <w:rsid w:val="009065F4"/>
    <w:rsid w:val="009075A7"/>
    <w:rsid w:val="00907DFB"/>
    <w:rsid w:val="00910624"/>
    <w:rsid w:val="00910FBA"/>
    <w:rsid w:val="00911D39"/>
    <w:rsid w:val="00912B9F"/>
    <w:rsid w:val="009147CD"/>
    <w:rsid w:val="00917C0F"/>
    <w:rsid w:val="0092040E"/>
    <w:rsid w:val="00920C6C"/>
    <w:rsid w:val="00921897"/>
    <w:rsid w:val="00921C6D"/>
    <w:rsid w:val="009227D9"/>
    <w:rsid w:val="00923C44"/>
    <w:rsid w:val="00927791"/>
    <w:rsid w:val="00930607"/>
    <w:rsid w:val="00930D0A"/>
    <w:rsid w:val="009329BA"/>
    <w:rsid w:val="0093304D"/>
    <w:rsid w:val="00936939"/>
    <w:rsid w:val="00936F50"/>
    <w:rsid w:val="0094053B"/>
    <w:rsid w:val="009413E2"/>
    <w:rsid w:val="00941BCE"/>
    <w:rsid w:val="00942040"/>
    <w:rsid w:val="00942C9F"/>
    <w:rsid w:val="00943F98"/>
    <w:rsid w:val="00945631"/>
    <w:rsid w:val="00945FD5"/>
    <w:rsid w:val="00947549"/>
    <w:rsid w:val="00947B0C"/>
    <w:rsid w:val="00947CF3"/>
    <w:rsid w:val="0095793C"/>
    <w:rsid w:val="0096111E"/>
    <w:rsid w:val="00961125"/>
    <w:rsid w:val="0096154A"/>
    <w:rsid w:val="009623D8"/>
    <w:rsid w:val="00963362"/>
    <w:rsid w:val="00963BD1"/>
    <w:rsid w:val="00966B1F"/>
    <w:rsid w:val="00970A7E"/>
    <w:rsid w:val="0097116E"/>
    <w:rsid w:val="00974518"/>
    <w:rsid w:val="009747FA"/>
    <w:rsid w:val="00974F2B"/>
    <w:rsid w:val="0097766C"/>
    <w:rsid w:val="00980FE0"/>
    <w:rsid w:val="0098144E"/>
    <w:rsid w:val="00981DFC"/>
    <w:rsid w:val="009834A9"/>
    <w:rsid w:val="00985F8B"/>
    <w:rsid w:val="00990C3B"/>
    <w:rsid w:val="00991CBD"/>
    <w:rsid w:val="009921E6"/>
    <w:rsid w:val="009928B7"/>
    <w:rsid w:val="0099321A"/>
    <w:rsid w:val="009947E8"/>
    <w:rsid w:val="009960B7"/>
    <w:rsid w:val="00996F08"/>
    <w:rsid w:val="009972FE"/>
    <w:rsid w:val="0099763D"/>
    <w:rsid w:val="009A2D66"/>
    <w:rsid w:val="009A366B"/>
    <w:rsid w:val="009A48B6"/>
    <w:rsid w:val="009B0CAB"/>
    <w:rsid w:val="009B536C"/>
    <w:rsid w:val="009B5C19"/>
    <w:rsid w:val="009B6496"/>
    <w:rsid w:val="009C01DA"/>
    <w:rsid w:val="009C0B03"/>
    <w:rsid w:val="009C1528"/>
    <w:rsid w:val="009C20CC"/>
    <w:rsid w:val="009C2BDF"/>
    <w:rsid w:val="009C3558"/>
    <w:rsid w:val="009C562E"/>
    <w:rsid w:val="009C5E44"/>
    <w:rsid w:val="009C7531"/>
    <w:rsid w:val="009D2098"/>
    <w:rsid w:val="009D220C"/>
    <w:rsid w:val="009D221F"/>
    <w:rsid w:val="009D5551"/>
    <w:rsid w:val="009E09F0"/>
    <w:rsid w:val="009E19E8"/>
    <w:rsid w:val="009E377C"/>
    <w:rsid w:val="009E411C"/>
    <w:rsid w:val="009E4125"/>
    <w:rsid w:val="009E458A"/>
    <w:rsid w:val="009E5316"/>
    <w:rsid w:val="009E5D7C"/>
    <w:rsid w:val="009E5DFC"/>
    <w:rsid w:val="009F1789"/>
    <w:rsid w:val="009F2E3B"/>
    <w:rsid w:val="009F36D2"/>
    <w:rsid w:val="009F39E9"/>
    <w:rsid w:val="009F3B6B"/>
    <w:rsid w:val="009F4504"/>
    <w:rsid w:val="009F502C"/>
    <w:rsid w:val="009F603B"/>
    <w:rsid w:val="009F6987"/>
    <w:rsid w:val="009F720F"/>
    <w:rsid w:val="00A010E7"/>
    <w:rsid w:val="00A01A17"/>
    <w:rsid w:val="00A01A60"/>
    <w:rsid w:val="00A03BE3"/>
    <w:rsid w:val="00A06E4C"/>
    <w:rsid w:val="00A06E6E"/>
    <w:rsid w:val="00A076F9"/>
    <w:rsid w:val="00A07997"/>
    <w:rsid w:val="00A07F87"/>
    <w:rsid w:val="00A12B92"/>
    <w:rsid w:val="00A13659"/>
    <w:rsid w:val="00A1637F"/>
    <w:rsid w:val="00A206ED"/>
    <w:rsid w:val="00A20806"/>
    <w:rsid w:val="00A20C7F"/>
    <w:rsid w:val="00A21D41"/>
    <w:rsid w:val="00A22DBA"/>
    <w:rsid w:val="00A230F6"/>
    <w:rsid w:val="00A2329D"/>
    <w:rsid w:val="00A2490E"/>
    <w:rsid w:val="00A25442"/>
    <w:rsid w:val="00A25BFF"/>
    <w:rsid w:val="00A26648"/>
    <w:rsid w:val="00A26F79"/>
    <w:rsid w:val="00A27522"/>
    <w:rsid w:val="00A3136F"/>
    <w:rsid w:val="00A345C2"/>
    <w:rsid w:val="00A34D0C"/>
    <w:rsid w:val="00A34D76"/>
    <w:rsid w:val="00A365D0"/>
    <w:rsid w:val="00A402B8"/>
    <w:rsid w:val="00A4043E"/>
    <w:rsid w:val="00A405F4"/>
    <w:rsid w:val="00A437D9"/>
    <w:rsid w:val="00A43C16"/>
    <w:rsid w:val="00A443A6"/>
    <w:rsid w:val="00A45A1A"/>
    <w:rsid w:val="00A45C35"/>
    <w:rsid w:val="00A45E61"/>
    <w:rsid w:val="00A460F8"/>
    <w:rsid w:val="00A47F32"/>
    <w:rsid w:val="00A53220"/>
    <w:rsid w:val="00A538E6"/>
    <w:rsid w:val="00A54514"/>
    <w:rsid w:val="00A56102"/>
    <w:rsid w:val="00A56800"/>
    <w:rsid w:val="00A56D7E"/>
    <w:rsid w:val="00A57404"/>
    <w:rsid w:val="00A575BD"/>
    <w:rsid w:val="00A60EEC"/>
    <w:rsid w:val="00A61B66"/>
    <w:rsid w:val="00A63B83"/>
    <w:rsid w:val="00A65BD9"/>
    <w:rsid w:val="00A65FC2"/>
    <w:rsid w:val="00A66056"/>
    <w:rsid w:val="00A66718"/>
    <w:rsid w:val="00A671EF"/>
    <w:rsid w:val="00A70B31"/>
    <w:rsid w:val="00A73A74"/>
    <w:rsid w:val="00A74FA3"/>
    <w:rsid w:val="00A759FE"/>
    <w:rsid w:val="00A75FE1"/>
    <w:rsid w:val="00A76D67"/>
    <w:rsid w:val="00A77562"/>
    <w:rsid w:val="00A776B8"/>
    <w:rsid w:val="00A81EB6"/>
    <w:rsid w:val="00A837FE"/>
    <w:rsid w:val="00A85357"/>
    <w:rsid w:val="00A86ED2"/>
    <w:rsid w:val="00A871E5"/>
    <w:rsid w:val="00A902DD"/>
    <w:rsid w:val="00A91617"/>
    <w:rsid w:val="00A92700"/>
    <w:rsid w:val="00A9293D"/>
    <w:rsid w:val="00A93C1C"/>
    <w:rsid w:val="00A94DC6"/>
    <w:rsid w:val="00A95CB9"/>
    <w:rsid w:val="00A96FA8"/>
    <w:rsid w:val="00A9770A"/>
    <w:rsid w:val="00AA0A43"/>
    <w:rsid w:val="00AA0DD3"/>
    <w:rsid w:val="00AA1C07"/>
    <w:rsid w:val="00AA3688"/>
    <w:rsid w:val="00AA5887"/>
    <w:rsid w:val="00AA5D91"/>
    <w:rsid w:val="00AA6592"/>
    <w:rsid w:val="00AA784E"/>
    <w:rsid w:val="00AB19F8"/>
    <w:rsid w:val="00AB2A61"/>
    <w:rsid w:val="00AB3A12"/>
    <w:rsid w:val="00AB5A8D"/>
    <w:rsid w:val="00AB5B13"/>
    <w:rsid w:val="00AB6642"/>
    <w:rsid w:val="00AC08D8"/>
    <w:rsid w:val="00AC26A9"/>
    <w:rsid w:val="00AC2EFE"/>
    <w:rsid w:val="00AC3930"/>
    <w:rsid w:val="00AC3AB1"/>
    <w:rsid w:val="00AC4C14"/>
    <w:rsid w:val="00AC68C6"/>
    <w:rsid w:val="00AC6928"/>
    <w:rsid w:val="00AC7921"/>
    <w:rsid w:val="00AC79C1"/>
    <w:rsid w:val="00AC7CA4"/>
    <w:rsid w:val="00AD0397"/>
    <w:rsid w:val="00AD493B"/>
    <w:rsid w:val="00AD4A64"/>
    <w:rsid w:val="00AD4D4E"/>
    <w:rsid w:val="00AD598F"/>
    <w:rsid w:val="00AD60BF"/>
    <w:rsid w:val="00AD6D09"/>
    <w:rsid w:val="00AD7832"/>
    <w:rsid w:val="00AE07DA"/>
    <w:rsid w:val="00AE098E"/>
    <w:rsid w:val="00AE0BBA"/>
    <w:rsid w:val="00AE2291"/>
    <w:rsid w:val="00AE25C8"/>
    <w:rsid w:val="00AE4003"/>
    <w:rsid w:val="00AE4113"/>
    <w:rsid w:val="00AE4380"/>
    <w:rsid w:val="00AE4FAC"/>
    <w:rsid w:val="00AE5525"/>
    <w:rsid w:val="00AE6381"/>
    <w:rsid w:val="00AE656F"/>
    <w:rsid w:val="00AE7D78"/>
    <w:rsid w:val="00AF235C"/>
    <w:rsid w:val="00AF41F6"/>
    <w:rsid w:val="00AF438E"/>
    <w:rsid w:val="00AF45CA"/>
    <w:rsid w:val="00AF5CEE"/>
    <w:rsid w:val="00AF7506"/>
    <w:rsid w:val="00B007DD"/>
    <w:rsid w:val="00B0098A"/>
    <w:rsid w:val="00B01016"/>
    <w:rsid w:val="00B0146E"/>
    <w:rsid w:val="00B02160"/>
    <w:rsid w:val="00B027CB"/>
    <w:rsid w:val="00B03052"/>
    <w:rsid w:val="00B0352B"/>
    <w:rsid w:val="00B03953"/>
    <w:rsid w:val="00B073E6"/>
    <w:rsid w:val="00B074F8"/>
    <w:rsid w:val="00B11A3D"/>
    <w:rsid w:val="00B121B0"/>
    <w:rsid w:val="00B13B87"/>
    <w:rsid w:val="00B15296"/>
    <w:rsid w:val="00B172EB"/>
    <w:rsid w:val="00B17FAB"/>
    <w:rsid w:val="00B22C5F"/>
    <w:rsid w:val="00B23687"/>
    <w:rsid w:val="00B25710"/>
    <w:rsid w:val="00B27B03"/>
    <w:rsid w:val="00B318A3"/>
    <w:rsid w:val="00B31B62"/>
    <w:rsid w:val="00B3208E"/>
    <w:rsid w:val="00B33711"/>
    <w:rsid w:val="00B3473B"/>
    <w:rsid w:val="00B34889"/>
    <w:rsid w:val="00B349B1"/>
    <w:rsid w:val="00B357FE"/>
    <w:rsid w:val="00B37550"/>
    <w:rsid w:val="00B402C6"/>
    <w:rsid w:val="00B41DC1"/>
    <w:rsid w:val="00B42A1D"/>
    <w:rsid w:val="00B42F69"/>
    <w:rsid w:val="00B46EC7"/>
    <w:rsid w:val="00B50A91"/>
    <w:rsid w:val="00B5160B"/>
    <w:rsid w:val="00B51761"/>
    <w:rsid w:val="00B51871"/>
    <w:rsid w:val="00B52022"/>
    <w:rsid w:val="00B52187"/>
    <w:rsid w:val="00B5450A"/>
    <w:rsid w:val="00B54691"/>
    <w:rsid w:val="00B55CFC"/>
    <w:rsid w:val="00B60CCD"/>
    <w:rsid w:val="00B62854"/>
    <w:rsid w:val="00B6293B"/>
    <w:rsid w:val="00B62EF1"/>
    <w:rsid w:val="00B640CC"/>
    <w:rsid w:val="00B645B6"/>
    <w:rsid w:val="00B64B2F"/>
    <w:rsid w:val="00B65A1C"/>
    <w:rsid w:val="00B667BF"/>
    <w:rsid w:val="00B674D6"/>
    <w:rsid w:val="00B6797D"/>
    <w:rsid w:val="00B713FF"/>
    <w:rsid w:val="00B7245B"/>
    <w:rsid w:val="00B735B8"/>
    <w:rsid w:val="00B73FF8"/>
    <w:rsid w:val="00B74858"/>
    <w:rsid w:val="00B752EB"/>
    <w:rsid w:val="00B77BE4"/>
    <w:rsid w:val="00B812BE"/>
    <w:rsid w:val="00B813D5"/>
    <w:rsid w:val="00B8258D"/>
    <w:rsid w:val="00B825B4"/>
    <w:rsid w:val="00B83704"/>
    <w:rsid w:val="00B84E7E"/>
    <w:rsid w:val="00B86608"/>
    <w:rsid w:val="00B87847"/>
    <w:rsid w:val="00B90477"/>
    <w:rsid w:val="00B92AA5"/>
    <w:rsid w:val="00B9368A"/>
    <w:rsid w:val="00B93904"/>
    <w:rsid w:val="00B955FE"/>
    <w:rsid w:val="00B96744"/>
    <w:rsid w:val="00B97669"/>
    <w:rsid w:val="00B97F4D"/>
    <w:rsid w:val="00BA0B9F"/>
    <w:rsid w:val="00BA3287"/>
    <w:rsid w:val="00BA6419"/>
    <w:rsid w:val="00BA6550"/>
    <w:rsid w:val="00BB1206"/>
    <w:rsid w:val="00BB3642"/>
    <w:rsid w:val="00BB4A3B"/>
    <w:rsid w:val="00BB59F6"/>
    <w:rsid w:val="00BB5EF0"/>
    <w:rsid w:val="00BB66AB"/>
    <w:rsid w:val="00BB7BBA"/>
    <w:rsid w:val="00BC031A"/>
    <w:rsid w:val="00BC0AD6"/>
    <w:rsid w:val="00BC122E"/>
    <w:rsid w:val="00BC3584"/>
    <w:rsid w:val="00BC55A8"/>
    <w:rsid w:val="00BC5838"/>
    <w:rsid w:val="00BC6DC2"/>
    <w:rsid w:val="00BC6E71"/>
    <w:rsid w:val="00BD0E08"/>
    <w:rsid w:val="00BE1E9C"/>
    <w:rsid w:val="00BE4ED6"/>
    <w:rsid w:val="00BE54F3"/>
    <w:rsid w:val="00BE5F67"/>
    <w:rsid w:val="00BE7920"/>
    <w:rsid w:val="00BF1E46"/>
    <w:rsid w:val="00BF266B"/>
    <w:rsid w:val="00BF2A3A"/>
    <w:rsid w:val="00BF2CD1"/>
    <w:rsid w:val="00BF4B6A"/>
    <w:rsid w:val="00BF5135"/>
    <w:rsid w:val="00C00312"/>
    <w:rsid w:val="00C00828"/>
    <w:rsid w:val="00C009F5"/>
    <w:rsid w:val="00C01129"/>
    <w:rsid w:val="00C02239"/>
    <w:rsid w:val="00C022E1"/>
    <w:rsid w:val="00C0398D"/>
    <w:rsid w:val="00C05C3D"/>
    <w:rsid w:val="00C071AC"/>
    <w:rsid w:val="00C07870"/>
    <w:rsid w:val="00C109A2"/>
    <w:rsid w:val="00C11E4C"/>
    <w:rsid w:val="00C126D6"/>
    <w:rsid w:val="00C14954"/>
    <w:rsid w:val="00C179B0"/>
    <w:rsid w:val="00C20245"/>
    <w:rsid w:val="00C20CA6"/>
    <w:rsid w:val="00C226F9"/>
    <w:rsid w:val="00C23398"/>
    <w:rsid w:val="00C23B23"/>
    <w:rsid w:val="00C2428B"/>
    <w:rsid w:val="00C26C22"/>
    <w:rsid w:val="00C27B03"/>
    <w:rsid w:val="00C3089B"/>
    <w:rsid w:val="00C34B40"/>
    <w:rsid w:val="00C35836"/>
    <w:rsid w:val="00C36864"/>
    <w:rsid w:val="00C41CD3"/>
    <w:rsid w:val="00C43438"/>
    <w:rsid w:val="00C44264"/>
    <w:rsid w:val="00C448B5"/>
    <w:rsid w:val="00C46251"/>
    <w:rsid w:val="00C46C73"/>
    <w:rsid w:val="00C4790F"/>
    <w:rsid w:val="00C47FC0"/>
    <w:rsid w:val="00C5189F"/>
    <w:rsid w:val="00C528CC"/>
    <w:rsid w:val="00C53ABD"/>
    <w:rsid w:val="00C53AD3"/>
    <w:rsid w:val="00C53C94"/>
    <w:rsid w:val="00C57741"/>
    <w:rsid w:val="00C6074F"/>
    <w:rsid w:val="00C62568"/>
    <w:rsid w:val="00C64143"/>
    <w:rsid w:val="00C6434D"/>
    <w:rsid w:val="00C652E5"/>
    <w:rsid w:val="00C67446"/>
    <w:rsid w:val="00C70962"/>
    <w:rsid w:val="00C71674"/>
    <w:rsid w:val="00C7697F"/>
    <w:rsid w:val="00C8025E"/>
    <w:rsid w:val="00C809BA"/>
    <w:rsid w:val="00C80F75"/>
    <w:rsid w:val="00C8136C"/>
    <w:rsid w:val="00C82FAC"/>
    <w:rsid w:val="00C82FFA"/>
    <w:rsid w:val="00C84A1B"/>
    <w:rsid w:val="00C85521"/>
    <w:rsid w:val="00C856C0"/>
    <w:rsid w:val="00C863EE"/>
    <w:rsid w:val="00C90B26"/>
    <w:rsid w:val="00C92646"/>
    <w:rsid w:val="00C9316A"/>
    <w:rsid w:val="00C93B5E"/>
    <w:rsid w:val="00C949A7"/>
    <w:rsid w:val="00C95D8D"/>
    <w:rsid w:val="00C97C7F"/>
    <w:rsid w:val="00CA2283"/>
    <w:rsid w:val="00CA2AEF"/>
    <w:rsid w:val="00CA2CA3"/>
    <w:rsid w:val="00CA31D0"/>
    <w:rsid w:val="00CA325F"/>
    <w:rsid w:val="00CA33B8"/>
    <w:rsid w:val="00CB1582"/>
    <w:rsid w:val="00CB22B7"/>
    <w:rsid w:val="00CB31DA"/>
    <w:rsid w:val="00CB5032"/>
    <w:rsid w:val="00CB743B"/>
    <w:rsid w:val="00CB7DF6"/>
    <w:rsid w:val="00CC303F"/>
    <w:rsid w:val="00CC3C96"/>
    <w:rsid w:val="00CD077C"/>
    <w:rsid w:val="00CD342A"/>
    <w:rsid w:val="00CD3940"/>
    <w:rsid w:val="00CE1E6D"/>
    <w:rsid w:val="00CE2F14"/>
    <w:rsid w:val="00CE52B8"/>
    <w:rsid w:val="00CE6A0B"/>
    <w:rsid w:val="00CE7BF6"/>
    <w:rsid w:val="00CF0950"/>
    <w:rsid w:val="00CF12DA"/>
    <w:rsid w:val="00CF3B07"/>
    <w:rsid w:val="00CF4C13"/>
    <w:rsid w:val="00CF62E0"/>
    <w:rsid w:val="00CF6384"/>
    <w:rsid w:val="00CF6902"/>
    <w:rsid w:val="00D02B8F"/>
    <w:rsid w:val="00D0380E"/>
    <w:rsid w:val="00D0401F"/>
    <w:rsid w:val="00D06E88"/>
    <w:rsid w:val="00D104BA"/>
    <w:rsid w:val="00D11E39"/>
    <w:rsid w:val="00D11F90"/>
    <w:rsid w:val="00D13527"/>
    <w:rsid w:val="00D15E4E"/>
    <w:rsid w:val="00D16F06"/>
    <w:rsid w:val="00D17601"/>
    <w:rsid w:val="00D20D6E"/>
    <w:rsid w:val="00D21300"/>
    <w:rsid w:val="00D21A11"/>
    <w:rsid w:val="00D22F7B"/>
    <w:rsid w:val="00D230DC"/>
    <w:rsid w:val="00D26C9A"/>
    <w:rsid w:val="00D303E8"/>
    <w:rsid w:val="00D31BA6"/>
    <w:rsid w:val="00D335E1"/>
    <w:rsid w:val="00D3545E"/>
    <w:rsid w:val="00D35FEA"/>
    <w:rsid w:val="00D366E4"/>
    <w:rsid w:val="00D423AC"/>
    <w:rsid w:val="00D448FC"/>
    <w:rsid w:val="00D44B15"/>
    <w:rsid w:val="00D44DC6"/>
    <w:rsid w:val="00D476EA"/>
    <w:rsid w:val="00D514E5"/>
    <w:rsid w:val="00D53589"/>
    <w:rsid w:val="00D539D5"/>
    <w:rsid w:val="00D5445B"/>
    <w:rsid w:val="00D544D5"/>
    <w:rsid w:val="00D57897"/>
    <w:rsid w:val="00D602DE"/>
    <w:rsid w:val="00D6096A"/>
    <w:rsid w:val="00D60ABE"/>
    <w:rsid w:val="00D60CE5"/>
    <w:rsid w:val="00D61811"/>
    <w:rsid w:val="00D629E7"/>
    <w:rsid w:val="00D62DDB"/>
    <w:rsid w:val="00D63F9F"/>
    <w:rsid w:val="00D646D3"/>
    <w:rsid w:val="00D662F2"/>
    <w:rsid w:val="00D665F1"/>
    <w:rsid w:val="00D669E4"/>
    <w:rsid w:val="00D6711E"/>
    <w:rsid w:val="00D73B08"/>
    <w:rsid w:val="00D80127"/>
    <w:rsid w:val="00D804E2"/>
    <w:rsid w:val="00D805D1"/>
    <w:rsid w:val="00D81A97"/>
    <w:rsid w:val="00D81FB3"/>
    <w:rsid w:val="00D82FD7"/>
    <w:rsid w:val="00D848D5"/>
    <w:rsid w:val="00D84FA6"/>
    <w:rsid w:val="00D85C5F"/>
    <w:rsid w:val="00D85ECC"/>
    <w:rsid w:val="00D864C7"/>
    <w:rsid w:val="00D86D11"/>
    <w:rsid w:val="00D86E7C"/>
    <w:rsid w:val="00D86EB7"/>
    <w:rsid w:val="00D907A1"/>
    <w:rsid w:val="00D91E9F"/>
    <w:rsid w:val="00D92B5E"/>
    <w:rsid w:val="00D93388"/>
    <w:rsid w:val="00D93CFF"/>
    <w:rsid w:val="00D95457"/>
    <w:rsid w:val="00D95D96"/>
    <w:rsid w:val="00D97A7B"/>
    <w:rsid w:val="00DA1259"/>
    <w:rsid w:val="00DA18EC"/>
    <w:rsid w:val="00DA1AAD"/>
    <w:rsid w:val="00DA1E08"/>
    <w:rsid w:val="00DA4A52"/>
    <w:rsid w:val="00DA4FBC"/>
    <w:rsid w:val="00DA61B9"/>
    <w:rsid w:val="00DA6B04"/>
    <w:rsid w:val="00DA7457"/>
    <w:rsid w:val="00DB1083"/>
    <w:rsid w:val="00DB1B31"/>
    <w:rsid w:val="00DB268C"/>
    <w:rsid w:val="00DB2995"/>
    <w:rsid w:val="00DB2ED0"/>
    <w:rsid w:val="00DB38F0"/>
    <w:rsid w:val="00DB3EE8"/>
    <w:rsid w:val="00DB4701"/>
    <w:rsid w:val="00DB4E76"/>
    <w:rsid w:val="00DB59C0"/>
    <w:rsid w:val="00DC0146"/>
    <w:rsid w:val="00DC03EE"/>
    <w:rsid w:val="00DC36B8"/>
    <w:rsid w:val="00DC53F2"/>
    <w:rsid w:val="00DC6B01"/>
    <w:rsid w:val="00DC7797"/>
    <w:rsid w:val="00DC7E53"/>
    <w:rsid w:val="00DD078A"/>
    <w:rsid w:val="00DD1737"/>
    <w:rsid w:val="00DD34E1"/>
    <w:rsid w:val="00DD381F"/>
    <w:rsid w:val="00DD45E7"/>
    <w:rsid w:val="00DD71F6"/>
    <w:rsid w:val="00DD7667"/>
    <w:rsid w:val="00DD777C"/>
    <w:rsid w:val="00DE051A"/>
    <w:rsid w:val="00DE0D2F"/>
    <w:rsid w:val="00DE0D75"/>
    <w:rsid w:val="00DE19EB"/>
    <w:rsid w:val="00DE247B"/>
    <w:rsid w:val="00DE5B0F"/>
    <w:rsid w:val="00DF0FE3"/>
    <w:rsid w:val="00DF2CB1"/>
    <w:rsid w:val="00DF69F9"/>
    <w:rsid w:val="00E02579"/>
    <w:rsid w:val="00E02B50"/>
    <w:rsid w:val="00E0328D"/>
    <w:rsid w:val="00E04B3F"/>
    <w:rsid w:val="00E060C1"/>
    <w:rsid w:val="00E06B1E"/>
    <w:rsid w:val="00E07787"/>
    <w:rsid w:val="00E10AAF"/>
    <w:rsid w:val="00E11D49"/>
    <w:rsid w:val="00E137CB"/>
    <w:rsid w:val="00E13F3D"/>
    <w:rsid w:val="00E147D5"/>
    <w:rsid w:val="00E14C0E"/>
    <w:rsid w:val="00E16642"/>
    <w:rsid w:val="00E1787C"/>
    <w:rsid w:val="00E202EC"/>
    <w:rsid w:val="00E20EEB"/>
    <w:rsid w:val="00E2249E"/>
    <w:rsid w:val="00E22B76"/>
    <w:rsid w:val="00E234F1"/>
    <w:rsid w:val="00E23763"/>
    <w:rsid w:val="00E241ED"/>
    <w:rsid w:val="00E24E3A"/>
    <w:rsid w:val="00E25AF8"/>
    <w:rsid w:val="00E26C55"/>
    <w:rsid w:val="00E26F6C"/>
    <w:rsid w:val="00E30265"/>
    <w:rsid w:val="00E31BD0"/>
    <w:rsid w:val="00E34CA3"/>
    <w:rsid w:val="00E34D8F"/>
    <w:rsid w:val="00E35C4A"/>
    <w:rsid w:val="00E37A0F"/>
    <w:rsid w:val="00E37DA6"/>
    <w:rsid w:val="00E37FE3"/>
    <w:rsid w:val="00E40EB7"/>
    <w:rsid w:val="00E43AAA"/>
    <w:rsid w:val="00E43E68"/>
    <w:rsid w:val="00E44C62"/>
    <w:rsid w:val="00E5387C"/>
    <w:rsid w:val="00E54451"/>
    <w:rsid w:val="00E54EF2"/>
    <w:rsid w:val="00E5712B"/>
    <w:rsid w:val="00E60DC5"/>
    <w:rsid w:val="00E63559"/>
    <w:rsid w:val="00E636DC"/>
    <w:rsid w:val="00E67180"/>
    <w:rsid w:val="00E676E2"/>
    <w:rsid w:val="00E741BF"/>
    <w:rsid w:val="00E74FA5"/>
    <w:rsid w:val="00E756A8"/>
    <w:rsid w:val="00E76032"/>
    <w:rsid w:val="00E768F2"/>
    <w:rsid w:val="00E77E9E"/>
    <w:rsid w:val="00E81DED"/>
    <w:rsid w:val="00E82316"/>
    <w:rsid w:val="00E825B3"/>
    <w:rsid w:val="00E849DE"/>
    <w:rsid w:val="00E85948"/>
    <w:rsid w:val="00E86536"/>
    <w:rsid w:val="00E9167E"/>
    <w:rsid w:val="00E922A4"/>
    <w:rsid w:val="00E925CE"/>
    <w:rsid w:val="00E93F3F"/>
    <w:rsid w:val="00E9691B"/>
    <w:rsid w:val="00E96A9E"/>
    <w:rsid w:val="00EA05D9"/>
    <w:rsid w:val="00EA0C14"/>
    <w:rsid w:val="00EA1104"/>
    <w:rsid w:val="00EA3EC5"/>
    <w:rsid w:val="00EA5257"/>
    <w:rsid w:val="00EA59B6"/>
    <w:rsid w:val="00EA7415"/>
    <w:rsid w:val="00EB0433"/>
    <w:rsid w:val="00EB1B8B"/>
    <w:rsid w:val="00EB24EC"/>
    <w:rsid w:val="00EB2C5F"/>
    <w:rsid w:val="00EB3C54"/>
    <w:rsid w:val="00EB4951"/>
    <w:rsid w:val="00EB566F"/>
    <w:rsid w:val="00EB595B"/>
    <w:rsid w:val="00EC098E"/>
    <w:rsid w:val="00EC0BCB"/>
    <w:rsid w:val="00EC0E71"/>
    <w:rsid w:val="00EC52DA"/>
    <w:rsid w:val="00ED0B52"/>
    <w:rsid w:val="00ED2405"/>
    <w:rsid w:val="00ED613A"/>
    <w:rsid w:val="00ED6CFA"/>
    <w:rsid w:val="00ED6D53"/>
    <w:rsid w:val="00EE1855"/>
    <w:rsid w:val="00EE2B68"/>
    <w:rsid w:val="00EE3733"/>
    <w:rsid w:val="00EE3794"/>
    <w:rsid w:val="00EE395E"/>
    <w:rsid w:val="00EE4CF7"/>
    <w:rsid w:val="00EE6D70"/>
    <w:rsid w:val="00EF1386"/>
    <w:rsid w:val="00EF2491"/>
    <w:rsid w:val="00EF256B"/>
    <w:rsid w:val="00EF5277"/>
    <w:rsid w:val="00EF5CAD"/>
    <w:rsid w:val="00EF611F"/>
    <w:rsid w:val="00EF76E1"/>
    <w:rsid w:val="00F002E3"/>
    <w:rsid w:val="00F029AF"/>
    <w:rsid w:val="00F03BD8"/>
    <w:rsid w:val="00F04099"/>
    <w:rsid w:val="00F05B66"/>
    <w:rsid w:val="00F1030E"/>
    <w:rsid w:val="00F10925"/>
    <w:rsid w:val="00F12063"/>
    <w:rsid w:val="00F12F6C"/>
    <w:rsid w:val="00F13CDD"/>
    <w:rsid w:val="00F13DAE"/>
    <w:rsid w:val="00F13DCE"/>
    <w:rsid w:val="00F157D8"/>
    <w:rsid w:val="00F201AD"/>
    <w:rsid w:val="00F21481"/>
    <w:rsid w:val="00F21B21"/>
    <w:rsid w:val="00F222BB"/>
    <w:rsid w:val="00F23506"/>
    <w:rsid w:val="00F2443A"/>
    <w:rsid w:val="00F2491A"/>
    <w:rsid w:val="00F24B4B"/>
    <w:rsid w:val="00F24EF6"/>
    <w:rsid w:val="00F254E4"/>
    <w:rsid w:val="00F26AAB"/>
    <w:rsid w:val="00F26F5D"/>
    <w:rsid w:val="00F34C92"/>
    <w:rsid w:val="00F35D19"/>
    <w:rsid w:val="00F377AE"/>
    <w:rsid w:val="00F41269"/>
    <w:rsid w:val="00F41319"/>
    <w:rsid w:val="00F41B77"/>
    <w:rsid w:val="00F44B13"/>
    <w:rsid w:val="00F45BE7"/>
    <w:rsid w:val="00F45D3B"/>
    <w:rsid w:val="00F463D7"/>
    <w:rsid w:val="00F50163"/>
    <w:rsid w:val="00F510E2"/>
    <w:rsid w:val="00F515F1"/>
    <w:rsid w:val="00F5273A"/>
    <w:rsid w:val="00F52D6B"/>
    <w:rsid w:val="00F52E18"/>
    <w:rsid w:val="00F535E2"/>
    <w:rsid w:val="00F53F97"/>
    <w:rsid w:val="00F546FB"/>
    <w:rsid w:val="00F55335"/>
    <w:rsid w:val="00F55CF7"/>
    <w:rsid w:val="00F57D1C"/>
    <w:rsid w:val="00F6086A"/>
    <w:rsid w:val="00F6169B"/>
    <w:rsid w:val="00F62824"/>
    <w:rsid w:val="00F62D7C"/>
    <w:rsid w:val="00F634C8"/>
    <w:rsid w:val="00F64B9B"/>
    <w:rsid w:val="00F658B9"/>
    <w:rsid w:val="00F67155"/>
    <w:rsid w:val="00F7058F"/>
    <w:rsid w:val="00F70D21"/>
    <w:rsid w:val="00F70FEF"/>
    <w:rsid w:val="00F73F06"/>
    <w:rsid w:val="00F74F3A"/>
    <w:rsid w:val="00F75BC5"/>
    <w:rsid w:val="00F75C02"/>
    <w:rsid w:val="00F77ECB"/>
    <w:rsid w:val="00F81BF8"/>
    <w:rsid w:val="00F81E47"/>
    <w:rsid w:val="00F824EF"/>
    <w:rsid w:val="00F84408"/>
    <w:rsid w:val="00F86474"/>
    <w:rsid w:val="00F868B4"/>
    <w:rsid w:val="00F8730A"/>
    <w:rsid w:val="00F9016F"/>
    <w:rsid w:val="00F90601"/>
    <w:rsid w:val="00F92888"/>
    <w:rsid w:val="00F92907"/>
    <w:rsid w:val="00F93703"/>
    <w:rsid w:val="00F947B7"/>
    <w:rsid w:val="00F95757"/>
    <w:rsid w:val="00FA78FD"/>
    <w:rsid w:val="00FB11BE"/>
    <w:rsid w:val="00FB1357"/>
    <w:rsid w:val="00FB1799"/>
    <w:rsid w:val="00FB1B56"/>
    <w:rsid w:val="00FB27F1"/>
    <w:rsid w:val="00FB4C6F"/>
    <w:rsid w:val="00FC1630"/>
    <w:rsid w:val="00FC5E76"/>
    <w:rsid w:val="00FC646E"/>
    <w:rsid w:val="00FC69CF"/>
    <w:rsid w:val="00FC7214"/>
    <w:rsid w:val="00FD058F"/>
    <w:rsid w:val="00FD0B70"/>
    <w:rsid w:val="00FD11B8"/>
    <w:rsid w:val="00FD1440"/>
    <w:rsid w:val="00FD1489"/>
    <w:rsid w:val="00FD17D7"/>
    <w:rsid w:val="00FD2DA9"/>
    <w:rsid w:val="00FD35FA"/>
    <w:rsid w:val="00FD59F1"/>
    <w:rsid w:val="00FD6FE2"/>
    <w:rsid w:val="00FD74CB"/>
    <w:rsid w:val="00FD7543"/>
    <w:rsid w:val="00FD7880"/>
    <w:rsid w:val="00FD7BF5"/>
    <w:rsid w:val="00FE12BD"/>
    <w:rsid w:val="00FE185C"/>
    <w:rsid w:val="00FE3C5F"/>
    <w:rsid w:val="00FE3E02"/>
    <w:rsid w:val="00FE401B"/>
    <w:rsid w:val="00FE4705"/>
    <w:rsid w:val="00FE557C"/>
    <w:rsid w:val="00FF4C3A"/>
    <w:rsid w:val="00FF62F4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17AEBF"/>
  <w15:docId w15:val="{4066169E-47DB-40AA-9EB1-A6BEDC4E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2FCD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Body"/>
    <w:next w:val="Body"/>
    <w:link w:val="Heading1Char"/>
    <w:qFormat/>
    <w:rsid w:val="00322FCD"/>
    <w:pPr>
      <w:keepNext/>
      <w:numPr>
        <w:numId w:val="8"/>
      </w:numPr>
      <w:spacing w:before="120"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Body"/>
    <w:next w:val="Body"/>
    <w:link w:val="Heading2Char"/>
    <w:qFormat/>
    <w:rsid w:val="00322FCD"/>
    <w:pPr>
      <w:keepNext/>
      <w:numPr>
        <w:ilvl w:val="1"/>
        <w:numId w:val="8"/>
      </w:numPr>
      <w:spacing w:before="120"/>
      <w:outlineLvl w:val="1"/>
    </w:pPr>
    <w:rPr>
      <w:rFonts w:cs="Arial"/>
      <w:b/>
      <w:bCs/>
      <w:iCs/>
    </w:rPr>
  </w:style>
  <w:style w:type="paragraph" w:styleId="Heading3">
    <w:name w:val="heading 3"/>
    <w:basedOn w:val="Body"/>
    <w:next w:val="Body"/>
    <w:link w:val="Heading3Char"/>
    <w:qFormat/>
    <w:rsid w:val="00322FCD"/>
    <w:pPr>
      <w:keepNext/>
      <w:numPr>
        <w:ilvl w:val="2"/>
        <w:numId w:val="8"/>
      </w:numPr>
      <w:spacing w:before="120"/>
      <w:outlineLvl w:val="2"/>
    </w:pPr>
    <w:rPr>
      <w:rFonts w:cs="Arial"/>
      <w:b/>
      <w:bCs/>
      <w:i/>
    </w:rPr>
  </w:style>
  <w:style w:type="paragraph" w:styleId="Heading4">
    <w:name w:val="heading 4"/>
    <w:basedOn w:val="Body"/>
    <w:next w:val="Body"/>
    <w:link w:val="Heading4Char"/>
    <w:qFormat/>
    <w:rsid w:val="00322FCD"/>
    <w:pPr>
      <w:keepNext/>
      <w:numPr>
        <w:ilvl w:val="3"/>
        <w:numId w:val="8"/>
      </w:numPr>
      <w:spacing w:before="120"/>
      <w:outlineLvl w:val="3"/>
    </w:pPr>
    <w:rPr>
      <w:bCs/>
      <w:i/>
    </w:rPr>
  </w:style>
  <w:style w:type="paragraph" w:styleId="Heading50">
    <w:name w:val="heading 5"/>
    <w:basedOn w:val="Body"/>
    <w:next w:val="Normal"/>
    <w:link w:val="Heading5Char"/>
    <w:qFormat/>
    <w:rsid w:val="00322FCD"/>
    <w:pPr>
      <w:tabs>
        <w:tab w:val="left" w:pos="936"/>
      </w:tabs>
      <w:outlineLvl w:val="4"/>
    </w:pPr>
    <w:rPr>
      <w:b/>
      <w:bCs/>
      <w:iCs/>
      <w:szCs w:val="26"/>
      <w:u w:val="single"/>
    </w:rPr>
  </w:style>
  <w:style w:type="paragraph" w:styleId="Heading60">
    <w:name w:val="heading 6"/>
    <w:basedOn w:val="Body"/>
    <w:next w:val="Normal"/>
    <w:link w:val="Heading6Char"/>
    <w:qFormat/>
    <w:rsid w:val="00322FCD"/>
    <w:pPr>
      <w:tabs>
        <w:tab w:val="left" w:pos="936"/>
      </w:tabs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322FC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22F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22F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  <w:qFormat/>
    <w:rsid w:val="00812D16"/>
    <w:pPr>
      <w:tabs>
        <w:tab w:val="left" w:pos="567"/>
      </w:tabs>
      <w:spacing w:line="260" w:lineRule="exact"/>
    </w:pPr>
    <w:rPr>
      <w:rFonts w:eastAsia="Times New Roman"/>
      <w:sz w:val="22"/>
      <w:lang w:val="cs-CZ" w:eastAsia="cs-CZ"/>
    </w:rPr>
  </w:style>
  <w:style w:type="character" w:customStyle="1" w:styleId="Standardnpsmoodstavce1">
    <w:name w:val="Standardní písmo odstavce1"/>
    <w:uiPriority w:val="1"/>
    <w:semiHidden/>
    <w:unhideWhenUsed/>
  </w:style>
  <w:style w:type="table" w:customStyle="1" w:styleId="Normlntabulka1">
    <w:name w:val="Normální tabulka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eznamu1">
    <w:name w:val="Bez seznamu1"/>
    <w:uiPriority w:val="99"/>
    <w:semiHidden/>
    <w:unhideWhenUsed/>
  </w:style>
  <w:style w:type="paragraph" w:customStyle="1" w:styleId="Zpat1">
    <w:name w:val="Zápatí1"/>
    <w:basedOn w:val="Normln1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customStyle="1" w:styleId="Zhlav1">
    <w:name w:val="Záhlaví1"/>
    <w:basedOn w:val="Normln1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ln1"/>
    <w:next w:val="Normln1"/>
    <w:pPr>
      <w:spacing w:line="120" w:lineRule="atLeast"/>
      <w:ind w:left="1418"/>
      <w:jc w:val="both"/>
    </w:pPr>
    <w:rPr>
      <w:rFonts w:ascii="Arial" w:hAnsi="Arial"/>
      <w:b/>
      <w:smallCaps/>
    </w:rPr>
  </w:style>
  <w:style w:type="character" w:customStyle="1" w:styleId="slostrnky1">
    <w:name w:val="Číslo stránky1"/>
    <w:basedOn w:val="Standardnpsmoodstavce1"/>
    <w:rsid w:val="00812D16"/>
  </w:style>
  <w:style w:type="paragraph" w:customStyle="1" w:styleId="Zkladntext1">
    <w:name w:val="Základní text1"/>
    <w:basedOn w:val="Normln1"/>
    <w:rsid w:val="00812D16"/>
    <w:pPr>
      <w:tabs>
        <w:tab w:val="clear" w:pos="567"/>
      </w:tabs>
      <w:spacing w:line="240" w:lineRule="auto"/>
    </w:pPr>
    <w:rPr>
      <w:i/>
      <w:color w:val="008000"/>
    </w:rPr>
  </w:style>
  <w:style w:type="paragraph" w:customStyle="1" w:styleId="Textkomente1">
    <w:name w:val="Text komentáře1"/>
    <w:basedOn w:val="Normln1"/>
    <w:link w:val="Textkomente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Hypertextovodkaz1">
    <w:name w:val="Hypertextový odkaz1"/>
    <w:rsid w:val="00812D16"/>
    <w:rPr>
      <w:color w:val="0000FF"/>
      <w:u w:val="single"/>
    </w:rPr>
  </w:style>
  <w:style w:type="paragraph" w:customStyle="1" w:styleId="EMEAEnBodyText">
    <w:name w:val="EMEA En Body Text"/>
    <w:basedOn w:val="Normln1"/>
    <w:rsid w:val="00812D16"/>
    <w:pPr>
      <w:tabs>
        <w:tab w:val="clear" w:pos="567"/>
      </w:tabs>
      <w:spacing w:before="120" w:after="120" w:line="240" w:lineRule="auto"/>
      <w:jc w:val="both"/>
    </w:pPr>
  </w:style>
  <w:style w:type="paragraph" w:customStyle="1" w:styleId="Textbubliny1">
    <w:name w:val="Text bubliny1"/>
    <w:basedOn w:val="Normln1"/>
    <w:semiHidden/>
    <w:rsid w:val="00A20C7F"/>
    <w:rPr>
      <w:rFonts w:ascii="Tahoma" w:hAnsi="Tahoma" w:cs="Tahoma"/>
      <w:sz w:val="16"/>
      <w:szCs w:val="16"/>
    </w:rPr>
  </w:style>
  <w:style w:type="paragraph" w:customStyle="1" w:styleId="BodytextAgency">
    <w:name w:val="Body text (Agency)"/>
    <w:basedOn w:val="Normln1"/>
    <w:link w:val="BodytextAgencyChar"/>
    <w:rsid w:val="00345F9C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345F9C"/>
    <w:rPr>
      <w:rFonts w:ascii="Verdana" w:eastAsia="Verdana" w:hAnsi="Verdana" w:cs="Verdana"/>
      <w:sz w:val="18"/>
      <w:szCs w:val="18"/>
      <w:lang w:val="cs-CZ" w:eastAsia="cs-CZ" w:bidi="cs-CZ"/>
    </w:rPr>
  </w:style>
  <w:style w:type="paragraph" w:customStyle="1" w:styleId="DraftingNotesAgency">
    <w:name w:val="Drafting Notes (Agency)"/>
    <w:basedOn w:val="Normln1"/>
    <w:next w:val="BodytextAgency"/>
    <w:link w:val="DraftingNotesAgencyChar"/>
    <w:rsid w:val="00345F9C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character" w:customStyle="1" w:styleId="DraftingNotesAgencyChar">
    <w:name w:val="Drafting Notes (Agency) Char"/>
    <w:link w:val="DraftingNotesAgency"/>
    <w:rsid w:val="00345F9C"/>
    <w:rPr>
      <w:rFonts w:ascii="Courier New" w:eastAsia="Verdana" w:hAnsi="Courier New"/>
      <w:i/>
      <w:color w:val="339966"/>
      <w:sz w:val="22"/>
      <w:szCs w:val="18"/>
      <w:lang w:val="cs-CZ" w:eastAsia="cs-CZ" w:bidi="cs-CZ"/>
    </w:rPr>
  </w:style>
  <w:style w:type="paragraph" w:customStyle="1" w:styleId="NormalAgency">
    <w:name w:val="Normal (Agency)"/>
    <w:link w:val="NormalAgencyChar"/>
    <w:rsid w:val="00C179B0"/>
    <w:rPr>
      <w:rFonts w:ascii="Verdana" w:eastAsia="Verdana" w:hAnsi="Verdana" w:cs="Verdana"/>
      <w:sz w:val="18"/>
      <w:szCs w:val="18"/>
      <w:lang w:val="cs-CZ" w:eastAsia="cs-CZ"/>
    </w:rPr>
  </w:style>
  <w:style w:type="table" w:customStyle="1" w:styleId="TablegridAgencyblack">
    <w:name w:val="Table grid (Agency) black"/>
    <w:basedOn w:val="Normlntabulka1"/>
    <w:semiHidden/>
    <w:rsid w:val="00C179B0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rsid w:val="00C179B0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1"/>
    <w:rsid w:val="00C179B0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C179B0"/>
    <w:rPr>
      <w:rFonts w:ascii="Verdana" w:eastAsia="Verdana" w:hAnsi="Verdana" w:cs="Verdana"/>
      <w:sz w:val="18"/>
      <w:szCs w:val="18"/>
      <w:lang w:val="cs-CZ" w:eastAsia="cs-CZ" w:bidi="cs-CZ"/>
    </w:rPr>
  </w:style>
  <w:style w:type="character" w:customStyle="1" w:styleId="Odkaznakoment1">
    <w:name w:val="Odkaz na komentář1"/>
    <w:uiPriority w:val="99"/>
    <w:semiHidden/>
    <w:unhideWhenUsed/>
    <w:rPr>
      <w:sz w:val="16"/>
      <w:szCs w:val="16"/>
    </w:rPr>
  </w:style>
  <w:style w:type="paragraph" w:customStyle="1" w:styleId="Pedmtkomente1">
    <w:name w:val="Předmět komentáře1"/>
    <w:basedOn w:val="Textkomente1"/>
    <w:next w:val="Textkomente1"/>
    <w:link w:val="PedmtkomenteChar"/>
    <w:rsid w:val="00BC6DC2"/>
    <w:rPr>
      <w:b/>
      <w:bCs/>
    </w:rPr>
  </w:style>
  <w:style w:type="character" w:customStyle="1" w:styleId="TextkomenteChar">
    <w:name w:val="Text komentáře Char"/>
    <w:link w:val="Textkomente1"/>
    <w:semiHidden/>
    <w:rsid w:val="00BC6DC2"/>
    <w:rPr>
      <w:rFonts w:eastAsia="Times New Roman"/>
      <w:lang w:eastAsia="cs-CZ"/>
    </w:rPr>
  </w:style>
  <w:style w:type="character" w:customStyle="1" w:styleId="PedmtkomenteChar">
    <w:name w:val="Předmět komentáře Char"/>
    <w:link w:val="Pedmtkomente1"/>
    <w:rsid w:val="00BC6DC2"/>
    <w:rPr>
      <w:rFonts w:eastAsia="Times New Roman"/>
      <w:b/>
      <w:bCs/>
      <w:lang w:eastAsia="cs-CZ"/>
    </w:rPr>
  </w:style>
  <w:style w:type="character" w:customStyle="1" w:styleId="DoNotTranslateExternal1">
    <w:name w:val="DoNotTranslateExternal1"/>
    <w:qFormat/>
    <w:rsid w:val="00066F1A"/>
    <w:rPr>
      <w:b/>
      <w:noProof/>
      <w:szCs w:val="22"/>
    </w:rPr>
  </w:style>
  <w:style w:type="paragraph" w:customStyle="1" w:styleId="Odstavecseseznamem1">
    <w:name w:val="Odstavec se seznamem1"/>
    <w:basedOn w:val="Normln1"/>
    <w:uiPriority w:val="34"/>
    <w:qFormat/>
    <w:rsid w:val="002D52B9"/>
    <w:pPr>
      <w:ind w:left="720"/>
      <w:contextualSpacing/>
    </w:pPr>
  </w:style>
  <w:style w:type="character" w:customStyle="1" w:styleId="Sledovanodkaz1">
    <w:name w:val="Sledovaný odkaz1"/>
    <w:rsid w:val="00324F2E"/>
    <w:rPr>
      <w:color w:val="954F72"/>
      <w:u w:val="single"/>
    </w:rPr>
  </w:style>
  <w:style w:type="paragraph" w:customStyle="1" w:styleId="Revize1">
    <w:name w:val="Revize1"/>
    <w:hidden/>
    <w:uiPriority w:val="99"/>
    <w:semiHidden/>
    <w:rsid w:val="00F13CDD"/>
    <w:rPr>
      <w:rFonts w:eastAsia="Times New Roman"/>
      <w:sz w:val="22"/>
      <w:lang w:val="cs-CZ" w:eastAsia="cs-CZ"/>
    </w:rPr>
  </w:style>
  <w:style w:type="paragraph" w:styleId="Header">
    <w:name w:val="header"/>
    <w:basedOn w:val="Body"/>
    <w:link w:val="HeaderChar"/>
    <w:uiPriority w:val="99"/>
    <w:rsid w:val="00322FCD"/>
    <w:pPr>
      <w:tabs>
        <w:tab w:val="right" w:pos="9072"/>
      </w:tabs>
      <w:spacing w:before="0" w:after="0"/>
    </w:pPr>
    <w:rPr>
      <w:b/>
      <w:cap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22FCD"/>
    <w:rPr>
      <w:rFonts w:eastAsia="Times New Roman"/>
      <w:b/>
      <w:caps/>
      <w:lang w:eastAsia="en-US"/>
    </w:rPr>
  </w:style>
  <w:style w:type="paragraph" w:styleId="Footer">
    <w:name w:val="footer"/>
    <w:link w:val="FooterChar"/>
    <w:rsid w:val="00322FCD"/>
    <w:pPr>
      <w:tabs>
        <w:tab w:val="right" w:pos="9072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6C29D4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322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0B52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741BF"/>
    <w:pPr>
      <w:ind w:left="720"/>
      <w:contextualSpacing/>
    </w:pPr>
  </w:style>
  <w:style w:type="character" w:styleId="Hyperlink">
    <w:name w:val="Hyperlink"/>
    <w:uiPriority w:val="99"/>
    <w:rsid w:val="00322FCD"/>
    <w:rPr>
      <w:color w:val="0000FF"/>
      <w:u w:val="single"/>
    </w:rPr>
  </w:style>
  <w:style w:type="character" w:styleId="CommentReference">
    <w:name w:val="annotation reference"/>
    <w:semiHidden/>
    <w:rsid w:val="00322F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22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2FCD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0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051E"/>
    <w:rPr>
      <w:rFonts w:eastAsia="Times New Roman"/>
      <w:b/>
      <w:bCs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22FCD"/>
    <w:rPr>
      <w:rFonts w:eastAsia="Times New Roman" w:cs="Arial"/>
      <w:b/>
      <w:bCs/>
      <w:caps/>
      <w:kern w:val="32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22FCD"/>
    <w:rPr>
      <w:rFonts w:eastAsia="Times New Roman" w:cs="Arial"/>
      <w:b/>
      <w:bCs/>
      <w:i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22FCD"/>
    <w:rPr>
      <w:rFonts w:eastAsia="Times New Roman" w:cs="Arial"/>
      <w:b/>
      <w:bCs/>
      <w:i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322FCD"/>
    <w:rPr>
      <w:rFonts w:eastAsia="Times New Roman"/>
      <w:bCs/>
      <w:i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0"/>
    <w:rsid w:val="00322FCD"/>
    <w:rPr>
      <w:rFonts w:eastAsia="Times New Roman"/>
      <w:b/>
      <w:bCs/>
      <w:iCs/>
      <w:sz w:val="24"/>
      <w:szCs w:val="26"/>
      <w:u w:val="single"/>
      <w:lang w:eastAsia="en-US"/>
    </w:rPr>
  </w:style>
  <w:style w:type="character" w:customStyle="1" w:styleId="Heading6Char">
    <w:name w:val="Heading 6 Char"/>
    <w:basedOn w:val="DefaultParagraphFont"/>
    <w:link w:val="Heading60"/>
    <w:rsid w:val="00322FCD"/>
    <w:rPr>
      <w:rFonts w:eastAsia="Times New Roman"/>
      <w:b/>
      <w:bCs/>
      <w:sz w:val="24"/>
      <w:szCs w:val="22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322FCD"/>
    <w:rPr>
      <w:rFonts w:eastAsia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322FCD"/>
    <w:rPr>
      <w:rFonts w:eastAsia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322FCD"/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Body">
    <w:name w:val="Body"/>
    <w:link w:val="BodyCar"/>
    <w:rsid w:val="00322FCD"/>
    <w:pPr>
      <w:spacing w:before="60" w:after="60"/>
      <w:jc w:val="both"/>
    </w:pPr>
    <w:rPr>
      <w:rFonts w:eastAsia="Times New Roman"/>
      <w:sz w:val="24"/>
      <w:szCs w:val="24"/>
      <w:lang w:eastAsia="en-US"/>
    </w:rPr>
  </w:style>
  <w:style w:type="paragraph" w:customStyle="1" w:styleId="Text">
    <w:name w:val="Text"/>
    <w:basedOn w:val="Body"/>
    <w:link w:val="TextChar"/>
    <w:qFormat/>
    <w:rsid w:val="00322FCD"/>
    <w:pPr>
      <w:suppressAutoHyphens/>
      <w:spacing w:before="0" w:after="0"/>
      <w:ind w:left="936"/>
    </w:pPr>
  </w:style>
  <w:style w:type="paragraph" w:customStyle="1" w:styleId="LegCap">
    <w:name w:val="LegCap"/>
    <w:basedOn w:val="Caption"/>
    <w:next w:val="Text"/>
    <w:rsid w:val="00322FCD"/>
  </w:style>
  <w:style w:type="paragraph" w:styleId="Caption">
    <w:name w:val="caption"/>
    <w:next w:val="Text"/>
    <w:qFormat/>
    <w:rsid w:val="00322FCD"/>
    <w:pPr>
      <w:keepNext/>
      <w:tabs>
        <w:tab w:val="left" w:pos="907"/>
      </w:tabs>
      <w:spacing w:before="120" w:after="120"/>
      <w:jc w:val="center"/>
    </w:pPr>
    <w:rPr>
      <w:rFonts w:eastAsia="Times New Roman"/>
      <w:b/>
      <w:bCs/>
      <w:lang w:eastAsia="en-US"/>
    </w:rPr>
  </w:style>
  <w:style w:type="paragraph" w:customStyle="1" w:styleId="TabCap">
    <w:name w:val="TabCap"/>
    <w:basedOn w:val="LegCap"/>
    <w:rsid w:val="00322FCD"/>
  </w:style>
  <w:style w:type="paragraph" w:customStyle="1" w:styleId="TOC">
    <w:name w:val="TOC"/>
    <w:basedOn w:val="Body"/>
    <w:next w:val="Body"/>
    <w:rsid w:val="00322FCD"/>
    <w:pPr>
      <w:keepNext/>
      <w:spacing w:after="480"/>
      <w:jc w:val="center"/>
      <w:outlineLvl w:val="8"/>
    </w:pPr>
    <w:rPr>
      <w:b/>
      <w:caps/>
    </w:rPr>
  </w:style>
  <w:style w:type="paragraph" w:customStyle="1" w:styleId="TOCTab">
    <w:name w:val="TOC_Tab"/>
    <w:next w:val="Body"/>
    <w:rsid w:val="00322FCD"/>
    <w:pPr>
      <w:keepNext/>
      <w:spacing w:after="480"/>
      <w:jc w:val="center"/>
    </w:pPr>
    <w:rPr>
      <w:rFonts w:eastAsia="Times New Roman"/>
      <w:b/>
      <w:caps/>
      <w:sz w:val="24"/>
      <w:szCs w:val="24"/>
      <w:lang w:eastAsia="en-US"/>
    </w:rPr>
  </w:style>
  <w:style w:type="paragraph" w:customStyle="1" w:styleId="TOCFig">
    <w:name w:val="TOC_Fig"/>
    <w:next w:val="Body"/>
    <w:rsid w:val="00322FCD"/>
    <w:pPr>
      <w:spacing w:after="480"/>
      <w:jc w:val="center"/>
    </w:pPr>
    <w:rPr>
      <w:rFonts w:eastAsia="Times New Roman"/>
      <w:b/>
      <w:caps/>
      <w:sz w:val="24"/>
      <w:szCs w:val="24"/>
      <w:lang w:eastAsia="en-US"/>
    </w:rPr>
  </w:style>
  <w:style w:type="paragraph" w:styleId="TOC1">
    <w:name w:val="toc 1"/>
    <w:basedOn w:val="Body"/>
    <w:next w:val="Body"/>
    <w:uiPriority w:val="39"/>
    <w:rsid w:val="00322FCD"/>
    <w:pPr>
      <w:tabs>
        <w:tab w:val="left" w:pos="567"/>
        <w:tab w:val="right" w:leader="dot" w:pos="9071"/>
      </w:tabs>
      <w:ind w:left="567" w:right="284" w:hanging="567"/>
    </w:pPr>
    <w:rPr>
      <w:b/>
      <w:caps/>
      <w:noProof/>
    </w:rPr>
  </w:style>
  <w:style w:type="paragraph" w:styleId="BodyText">
    <w:name w:val="Body Text"/>
    <w:link w:val="BodyTextChar"/>
    <w:rsid w:val="00322FCD"/>
    <w:pPr>
      <w:spacing w:after="120"/>
    </w:pPr>
    <w:rPr>
      <w:rFonts w:eastAsia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22FCD"/>
    <w:rPr>
      <w:rFonts w:eastAsia="Times New Roman"/>
      <w:sz w:val="24"/>
      <w:szCs w:val="24"/>
      <w:lang w:eastAsia="en-US"/>
    </w:rPr>
  </w:style>
  <w:style w:type="paragraph" w:styleId="TOC3">
    <w:name w:val="toc 3"/>
    <w:basedOn w:val="Body"/>
    <w:next w:val="Body"/>
    <w:uiPriority w:val="39"/>
    <w:rsid w:val="00322FCD"/>
    <w:pPr>
      <w:tabs>
        <w:tab w:val="left" w:pos="1701"/>
        <w:tab w:val="right" w:leader="dot" w:pos="9071"/>
      </w:tabs>
      <w:ind w:left="1701" w:right="284" w:hanging="1134"/>
    </w:pPr>
    <w:rPr>
      <w:b/>
      <w:i/>
      <w:noProof/>
    </w:rPr>
  </w:style>
  <w:style w:type="paragraph" w:customStyle="1" w:styleId="Figure">
    <w:name w:val="Figure"/>
    <w:basedOn w:val="LegCap"/>
    <w:next w:val="Body"/>
    <w:rsid w:val="00322FCD"/>
  </w:style>
  <w:style w:type="paragraph" w:customStyle="1" w:styleId="Table">
    <w:name w:val="Table"/>
    <w:basedOn w:val="TabCap"/>
    <w:next w:val="Text"/>
    <w:rsid w:val="00322FCD"/>
  </w:style>
  <w:style w:type="paragraph" w:styleId="TOC2">
    <w:name w:val="toc 2"/>
    <w:basedOn w:val="Body"/>
    <w:next w:val="Body"/>
    <w:uiPriority w:val="39"/>
    <w:rsid w:val="00322FCD"/>
    <w:pPr>
      <w:tabs>
        <w:tab w:val="left" w:pos="567"/>
        <w:tab w:val="right" w:leader="dot" w:pos="9071"/>
      </w:tabs>
      <w:ind w:left="567" w:right="284" w:hanging="567"/>
    </w:pPr>
    <w:rPr>
      <w:b/>
      <w:noProof/>
    </w:rPr>
  </w:style>
  <w:style w:type="paragraph" w:styleId="TOC4">
    <w:name w:val="toc 4"/>
    <w:basedOn w:val="Body"/>
    <w:next w:val="Body"/>
    <w:uiPriority w:val="39"/>
    <w:rsid w:val="00322FCD"/>
    <w:pPr>
      <w:tabs>
        <w:tab w:val="left" w:pos="1701"/>
        <w:tab w:val="right" w:leader="dot" w:pos="9071"/>
      </w:tabs>
      <w:ind w:left="1701" w:right="284" w:hanging="1134"/>
    </w:pPr>
    <w:rPr>
      <w:i/>
      <w:noProof/>
    </w:rPr>
  </w:style>
  <w:style w:type="paragraph" w:customStyle="1" w:styleId="Appendix">
    <w:name w:val="Appendix"/>
    <w:next w:val="Body"/>
    <w:rsid w:val="00322FCD"/>
    <w:pPr>
      <w:pageBreakBefore/>
      <w:numPr>
        <w:numId w:val="9"/>
      </w:numPr>
      <w:spacing w:before="6360" w:after="6400"/>
      <w:ind w:left="0" w:firstLine="289"/>
      <w:jc w:val="center"/>
      <w:outlineLvl w:val="6"/>
    </w:pPr>
    <w:rPr>
      <w:rFonts w:eastAsia="Times New Roman"/>
      <w:b/>
      <w:sz w:val="24"/>
      <w:szCs w:val="24"/>
      <w:lang w:eastAsia="en-US"/>
    </w:rPr>
  </w:style>
  <w:style w:type="paragraph" w:customStyle="1" w:styleId="TOCAppendix">
    <w:name w:val="TOC_Appendix"/>
    <w:basedOn w:val="TOCTab"/>
    <w:next w:val="Body"/>
    <w:rsid w:val="00322FCD"/>
  </w:style>
  <w:style w:type="paragraph" w:customStyle="1" w:styleId="Ref">
    <w:name w:val="Ref"/>
    <w:next w:val="Body"/>
    <w:rsid w:val="00322FCD"/>
    <w:pPr>
      <w:tabs>
        <w:tab w:val="left" w:pos="1559"/>
      </w:tabs>
      <w:suppressAutoHyphens/>
      <w:spacing w:before="60" w:after="60"/>
      <w:ind w:left="1559" w:hanging="624"/>
      <w:jc w:val="both"/>
    </w:pPr>
    <w:rPr>
      <w:rFonts w:eastAsia="Times New Roman"/>
      <w:sz w:val="24"/>
      <w:szCs w:val="24"/>
      <w:lang w:eastAsia="en-US"/>
    </w:rPr>
  </w:style>
  <w:style w:type="paragraph" w:customStyle="1" w:styleId="Col1">
    <w:name w:val="Col1"/>
    <w:basedOn w:val="Normal"/>
    <w:rsid w:val="00322FCD"/>
    <w:pPr>
      <w:spacing w:before="60" w:after="60"/>
    </w:pPr>
    <w:rPr>
      <w:b/>
      <w:bCs/>
      <w:lang w:val="en-GB" w:eastAsia="fr-FR"/>
    </w:rPr>
  </w:style>
  <w:style w:type="paragraph" w:customStyle="1" w:styleId="Col2">
    <w:name w:val="Col2"/>
    <w:basedOn w:val="Normal"/>
    <w:rsid w:val="00322FCD"/>
    <w:pPr>
      <w:spacing w:before="60" w:after="60"/>
    </w:pPr>
    <w:rPr>
      <w:lang w:val="en-GB" w:eastAsia="fr-FR"/>
    </w:rPr>
  </w:style>
  <w:style w:type="paragraph" w:styleId="TOC5">
    <w:name w:val="toc 5"/>
    <w:basedOn w:val="Body"/>
    <w:next w:val="Body"/>
    <w:autoRedefine/>
    <w:uiPriority w:val="39"/>
    <w:rsid w:val="00322FCD"/>
    <w:pPr>
      <w:tabs>
        <w:tab w:val="right" w:leader="dot" w:pos="9072"/>
      </w:tabs>
      <w:spacing w:before="120"/>
      <w:ind w:right="284"/>
    </w:pPr>
    <w:rPr>
      <w:b/>
      <w:caps/>
      <w:noProof/>
    </w:rPr>
  </w:style>
  <w:style w:type="paragraph" w:styleId="TOC6">
    <w:name w:val="toc 6"/>
    <w:basedOn w:val="Normal"/>
    <w:next w:val="Normal"/>
    <w:autoRedefine/>
    <w:uiPriority w:val="39"/>
    <w:rsid w:val="00322FCD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322FCD"/>
    <w:pPr>
      <w:tabs>
        <w:tab w:val="right" w:leader="dot" w:pos="9071"/>
      </w:tabs>
      <w:ind w:left="936" w:right="283"/>
    </w:pPr>
    <w:rPr>
      <w:noProof/>
      <w:lang w:val="en-GB"/>
    </w:rPr>
  </w:style>
  <w:style w:type="paragraph" w:styleId="TOC8">
    <w:name w:val="toc 8"/>
    <w:basedOn w:val="Normal"/>
    <w:next w:val="Normal"/>
    <w:autoRedefine/>
    <w:uiPriority w:val="39"/>
    <w:rsid w:val="00322FCD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322FCD"/>
    <w:pPr>
      <w:ind w:left="1920"/>
    </w:pPr>
  </w:style>
  <w:style w:type="character" w:styleId="FootnoteReference">
    <w:name w:val="footnote reference"/>
    <w:rsid w:val="00322FCD"/>
    <w:rPr>
      <w:vertAlign w:val="baseline"/>
    </w:rPr>
  </w:style>
  <w:style w:type="paragraph" w:customStyle="1" w:styleId="AppendicesTOC">
    <w:name w:val="Appendices TOC"/>
    <w:basedOn w:val="TOC2"/>
    <w:next w:val="Body"/>
    <w:rsid w:val="00322FCD"/>
    <w:pPr>
      <w:tabs>
        <w:tab w:val="clear" w:pos="9071"/>
        <w:tab w:val="left" w:pos="2693"/>
        <w:tab w:val="right" w:leader="dot" w:pos="9072"/>
      </w:tabs>
      <w:ind w:left="2694" w:right="567" w:hanging="1758"/>
    </w:pPr>
  </w:style>
  <w:style w:type="paragraph" w:styleId="DocumentMap">
    <w:name w:val="Document Map"/>
    <w:basedOn w:val="Normal"/>
    <w:link w:val="DocumentMapChar"/>
    <w:semiHidden/>
    <w:rsid w:val="00322FC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322FCD"/>
    <w:rPr>
      <w:rFonts w:ascii="Tahoma" w:eastAsia="Times New Roman" w:hAnsi="Tahoma" w:cs="Tahoma"/>
      <w:sz w:val="24"/>
      <w:szCs w:val="24"/>
      <w:shd w:val="clear" w:color="auto" w:fill="000080"/>
      <w:lang w:val="en-US" w:eastAsia="en-US"/>
    </w:rPr>
  </w:style>
  <w:style w:type="paragraph" w:customStyle="1" w:styleId="LandscapeFooter">
    <w:name w:val="Landscape Footer"/>
    <w:basedOn w:val="Footer"/>
    <w:rsid w:val="00322FCD"/>
    <w:pPr>
      <w:tabs>
        <w:tab w:val="clear" w:pos="9072"/>
        <w:tab w:val="right" w:pos="13041"/>
      </w:tabs>
    </w:pPr>
  </w:style>
  <w:style w:type="paragraph" w:customStyle="1" w:styleId="LandscapeHeader">
    <w:name w:val="Landscape Header"/>
    <w:basedOn w:val="Header"/>
    <w:rsid w:val="00322FCD"/>
    <w:pPr>
      <w:tabs>
        <w:tab w:val="clear" w:pos="9072"/>
        <w:tab w:val="right" w:pos="13041"/>
      </w:tabs>
    </w:pPr>
  </w:style>
  <w:style w:type="paragraph" w:styleId="FootnoteText">
    <w:name w:val="footnote text"/>
    <w:link w:val="FootnoteTextChar"/>
    <w:rsid w:val="00322FCD"/>
    <w:rPr>
      <w:rFonts w:eastAsia="Times New Roman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322FCD"/>
    <w:rPr>
      <w:rFonts w:eastAsia="Times New Roman"/>
      <w:lang w:val="en-US" w:eastAsia="en-US"/>
    </w:rPr>
  </w:style>
  <w:style w:type="character" w:styleId="PageNumber">
    <w:name w:val="page number"/>
    <w:basedOn w:val="DefaultParagraphFont"/>
    <w:rsid w:val="00322FCD"/>
  </w:style>
  <w:style w:type="paragraph" w:styleId="TableofFigures">
    <w:name w:val="table of figures"/>
    <w:basedOn w:val="Body"/>
    <w:next w:val="Body"/>
    <w:uiPriority w:val="99"/>
    <w:rsid w:val="00322FCD"/>
    <w:pPr>
      <w:tabs>
        <w:tab w:val="left" w:pos="1134"/>
        <w:tab w:val="right" w:leader="dot" w:pos="9071"/>
      </w:tabs>
      <w:ind w:left="1134" w:right="284" w:hanging="1134"/>
    </w:pPr>
    <w:rPr>
      <w:b/>
      <w:noProof/>
    </w:rPr>
  </w:style>
  <w:style w:type="paragraph" w:customStyle="1" w:styleId="BodyTab">
    <w:name w:val="BodyTab"/>
    <w:link w:val="BodyTabChar"/>
    <w:rsid w:val="00322FCD"/>
    <w:rPr>
      <w:rFonts w:eastAsia="Times New Roman"/>
      <w:lang w:eastAsia="en-US"/>
    </w:rPr>
  </w:style>
  <w:style w:type="paragraph" w:styleId="BodyText2">
    <w:name w:val="Body Text 2"/>
    <w:basedOn w:val="Normal"/>
    <w:link w:val="BodyText2Char"/>
    <w:rsid w:val="00322FCD"/>
    <w:rPr>
      <w:rFonts w:ascii="TimesNewRoman,Bold" w:hAnsi="TimesNewRoman,Bold"/>
      <w:b/>
      <w:snapToGrid w:val="0"/>
      <w:color w:val="000000"/>
    </w:rPr>
  </w:style>
  <w:style w:type="character" w:customStyle="1" w:styleId="BodyText2Char">
    <w:name w:val="Body Text 2 Char"/>
    <w:basedOn w:val="DefaultParagraphFont"/>
    <w:link w:val="BodyText2"/>
    <w:rsid w:val="00322FCD"/>
    <w:rPr>
      <w:rFonts w:ascii="TimesNewRoman,Bold" w:eastAsia="Times New Roman" w:hAnsi="TimesNewRoman,Bold"/>
      <w:b/>
      <w:snapToGrid w:val="0"/>
      <w:color w:val="000000"/>
      <w:sz w:val="24"/>
      <w:szCs w:val="24"/>
      <w:lang w:val="en-US" w:eastAsia="en-US"/>
    </w:rPr>
  </w:style>
  <w:style w:type="paragraph" w:customStyle="1" w:styleId="Level5">
    <w:name w:val="Level5"/>
    <w:basedOn w:val="Heading50"/>
    <w:rsid w:val="00322FCD"/>
    <w:pPr>
      <w:tabs>
        <w:tab w:val="num" w:pos="1389"/>
      </w:tabs>
      <w:ind w:left="1389" w:hanging="453"/>
    </w:pPr>
  </w:style>
  <w:style w:type="paragraph" w:customStyle="1" w:styleId="level6">
    <w:name w:val="level6"/>
    <w:rsid w:val="00322FCD"/>
    <w:pPr>
      <w:spacing w:before="120"/>
    </w:pPr>
    <w:rPr>
      <w:rFonts w:eastAsia="Times New Roman"/>
      <w:sz w:val="24"/>
      <w:szCs w:val="24"/>
      <w:lang w:eastAsia="en-US"/>
    </w:rPr>
  </w:style>
  <w:style w:type="paragraph" w:customStyle="1" w:styleId="Liste1">
    <w:name w:val="Liste1"/>
    <w:basedOn w:val="Body"/>
    <w:next w:val="Text"/>
    <w:rsid w:val="00322FCD"/>
    <w:pPr>
      <w:widowControl w:val="0"/>
      <w:tabs>
        <w:tab w:val="right" w:leader="dot" w:pos="9072"/>
      </w:tabs>
      <w:ind w:left="397" w:right="284" w:hanging="397"/>
    </w:pPr>
    <w:rPr>
      <w:b/>
    </w:rPr>
  </w:style>
  <w:style w:type="paragraph" w:styleId="EndnoteText">
    <w:name w:val="endnote text"/>
    <w:basedOn w:val="Normal"/>
    <w:link w:val="EndnoteTextChar"/>
    <w:rsid w:val="00322FCD"/>
    <w:pPr>
      <w:ind w:left="1315" w:hanging="357"/>
    </w:pPr>
  </w:style>
  <w:style w:type="character" w:customStyle="1" w:styleId="EndnoteTextChar">
    <w:name w:val="Endnote Text Char"/>
    <w:basedOn w:val="DefaultParagraphFont"/>
    <w:link w:val="EndnoteText"/>
    <w:rsid w:val="00322FCD"/>
    <w:rPr>
      <w:rFonts w:eastAsia="Times New Roman"/>
      <w:sz w:val="24"/>
      <w:szCs w:val="24"/>
      <w:lang w:val="en-US" w:eastAsia="en-US"/>
    </w:rPr>
  </w:style>
  <w:style w:type="character" w:styleId="EndnoteReference">
    <w:name w:val="endnote reference"/>
    <w:rsid w:val="00322FCD"/>
  </w:style>
  <w:style w:type="paragraph" w:customStyle="1" w:styleId="level50">
    <w:name w:val="level5"/>
    <w:rsid w:val="00322FCD"/>
    <w:rPr>
      <w:rFonts w:eastAsia="Times New Roman"/>
      <w:sz w:val="24"/>
      <w:szCs w:val="24"/>
      <w:lang w:eastAsia="en-US"/>
    </w:rPr>
  </w:style>
  <w:style w:type="paragraph" w:customStyle="1" w:styleId="Level7">
    <w:name w:val="Level7"/>
    <w:basedOn w:val="Text"/>
    <w:rsid w:val="00322FCD"/>
    <w:pPr>
      <w:spacing w:before="120"/>
    </w:pPr>
  </w:style>
  <w:style w:type="paragraph" w:customStyle="1" w:styleId="TableNote">
    <w:name w:val="TableNote"/>
    <w:next w:val="Text"/>
    <w:rsid w:val="00322FCD"/>
    <w:pPr>
      <w:spacing w:before="60" w:after="60"/>
      <w:ind w:left="936" w:hanging="936"/>
      <w:jc w:val="both"/>
    </w:pPr>
    <w:rPr>
      <w:rFonts w:eastAsia="Times New Roman"/>
      <w:lang w:eastAsia="en-US"/>
    </w:rPr>
  </w:style>
  <w:style w:type="paragraph" w:customStyle="1" w:styleId="Style1">
    <w:name w:val="Style1"/>
    <w:basedOn w:val="Text"/>
    <w:rsid w:val="00322FCD"/>
  </w:style>
  <w:style w:type="paragraph" w:customStyle="1" w:styleId="Heading">
    <w:name w:val="Heading"/>
    <w:next w:val="Text"/>
    <w:rsid w:val="00322FCD"/>
    <w:pPr>
      <w:keepNext/>
      <w:spacing w:before="120" w:after="60"/>
      <w:ind w:left="935"/>
      <w:jc w:val="both"/>
    </w:pPr>
    <w:rPr>
      <w:rFonts w:eastAsia="Times New Roman"/>
      <w:b/>
      <w:caps/>
      <w:sz w:val="24"/>
      <w:szCs w:val="24"/>
      <w:lang w:eastAsia="en-US"/>
    </w:rPr>
  </w:style>
  <w:style w:type="paragraph" w:customStyle="1" w:styleId="BodyTabSm">
    <w:name w:val="BodyTabSm"/>
    <w:rsid w:val="00322FCD"/>
    <w:rPr>
      <w:rFonts w:eastAsia="Times New Roman"/>
      <w:sz w:val="18"/>
      <w:szCs w:val="18"/>
      <w:lang w:eastAsia="en-US"/>
    </w:rPr>
  </w:style>
  <w:style w:type="character" w:customStyle="1" w:styleId="TableNoteChr">
    <w:name w:val="TableNoteChr"/>
    <w:rsid w:val="00322FCD"/>
    <w:rPr>
      <w:rFonts w:ascii="Times New Roman" w:hAnsi="Times New Roman"/>
      <w:sz w:val="20"/>
      <w:szCs w:val="20"/>
      <w:vertAlign w:val="superscript"/>
    </w:rPr>
  </w:style>
  <w:style w:type="paragraph" w:customStyle="1" w:styleId="Level5Bullet">
    <w:name w:val="Level5Bullet"/>
    <w:rsid w:val="00322FCD"/>
    <w:pPr>
      <w:numPr>
        <w:numId w:val="3"/>
      </w:numPr>
      <w:jc w:val="both"/>
    </w:pPr>
    <w:rPr>
      <w:rFonts w:eastAsia="Times New Roman"/>
      <w:sz w:val="24"/>
      <w:szCs w:val="24"/>
      <w:lang w:eastAsia="en-US"/>
    </w:rPr>
  </w:style>
  <w:style w:type="paragraph" w:customStyle="1" w:styleId="Level5Bullet2">
    <w:name w:val="Level5Bullet2"/>
    <w:basedOn w:val="Level5Bullet"/>
    <w:rsid w:val="00322FCD"/>
    <w:pPr>
      <w:numPr>
        <w:numId w:val="2"/>
      </w:numPr>
    </w:pPr>
  </w:style>
  <w:style w:type="paragraph" w:customStyle="1" w:styleId="Level6Bullet">
    <w:name w:val="Level6Bullet"/>
    <w:rsid w:val="00322FCD"/>
    <w:pPr>
      <w:numPr>
        <w:numId w:val="4"/>
      </w:numPr>
      <w:jc w:val="both"/>
    </w:pPr>
    <w:rPr>
      <w:rFonts w:eastAsia="Times New Roman"/>
      <w:sz w:val="24"/>
      <w:szCs w:val="24"/>
      <w:lang w:eastAsia="en-US"/>
    </w:rPr>
  </w:style>
  <w:style w:type="paragraph" w:customStyle="1" w:styleId="Level6Bullet2">
    <w:name w:val="Level6Bullet2"/>
    <w:rsid w:val="00322FCD"/>
    <w:pPr>
      <w:numPr>
        <w:numId w:val="5"/>
      </w:numPr>
      <w:jc w:val="both"/>
    </w:pPr>
    <w:rPr>
      <w:rFonts w:eastAsia="Times New Roman"/>
      <w:sz w:val="24"/>
      <w:szCs w:val="24"/>
      <w:lang w:eastAsia="en-US"/>
    </w:rPr>
  </w:style>
  <w:style w:type="paragraph" w:customStyle="1" w:styleId="HeadingTOC">
    <w:name w:val="HeadingTOC"/>
    <w:basedOn w:val="Heading"/>
    <w:next w:val="Body"/>
    <w:rsid w:val="00322FCD"/>
    <w:pPr>
      <w:ind w:left="0"/>
      <w:jc w:val="center"/>
      <w:outlineLvl w:val="0"/>
    </w:pPr>
  </w:style>
  <w:style w:type="paragraph" w:customStyle="1" w:styleId="Figurehead">
    <w:name w:val="Figurehead"/>
    <w:basedOn w:val="Caption"/>
    <w:rsid w:val="00322FCD"/>
    <w:pPr>
      <w:keepNext w:val="0"/>
      <w:pageBreakBefore/>
      <w:tabs>
        <w:tab w:val="clear" w:pos="907"/>
      </w:tabs>
      <w:spacing w:after="240"/>
      <w:ind w:left="2160" w:hanging="1440"/>
      <w:jc w:val="left"/>
    </w:pPr>
    <w:rPr>
      <w:bCs w:val="0"/>
      <w:sz w:val="24"/>
      <w:lang w:val="en-US" w:eastAsia="en-GB"/>
    </w:rPr>
  </w:style>
  <w:style w:type="paragraph" w:customStyle="1" w:styleId="BulletList1">
    <w:name w:val="Bullet List 1"/>
    <w:basedOn w:val="Body"/>
    <w:rsid w:val="00322FCD"/>
    <w:pPr>
      <w:numPr>
        <w:numId w:val="6"/>
      </w:numPr>
      <w:ind w:left="624" w:hanging="624"/>
    </w:pPr>
    <w:rPr>
      <w:sz w:val="22"/>
      <w:szCs w:val="20"/>
      <w:lang w:eastAsia="en-GB"/>
    </w:rPr>
  </w:style>
  <w:style w:type="paragraph" w:customStyle="1" w:styleId="Tabletitle">
    <w:name w:val="Tabletitle"/>
    <w:basedOn w:val="Caption"/>
    <w:rsid w:val="00322FCD"/>
    <w:pPr>
      <w:keepNext w:val="0"/>
      <w:tabs>
        <w:tab w:val="clear" w:pos="907"/>
      </w:tabs>
      <w:spacing w:after="0"/>
      <w:ind w:left="2880" w:hanging="1440"/>
      <w:jc w:val="left"/>
    </w:pPr>
    <w:rPr>
      <w:bCs w:val="0"/>
      <w:sz w:val="24"/>
      <w:lang w:val="en-US" w:eastAsia="en-GB"/>
    </w:rPr>
  </w:style>
  <w:style w:type="paragraph" w:styleId="NormalWeb">
    <w:name w:val="Normal (Web)"/>
    <w:basedOn w:val="Normal"/>
    <w:semiHidden/>
    <w:rsid w:val="00322FCD"/>
  </w:style>
  <w:style w:type="paragraph" w:styleId="Date">
    <w:name w:val="Date"/>
    <w:basedOn w:val="Normal"/>
    <w:next w:val="Normal"/>
    <w:link w:val="DateChar"/>
    <w:semiHidden/>
    <w:rsid w:val="00322FCD"/>
  </w:style>
  <w:style w:type="character" w:customStyle="1" w:styleId="DateChar">
    <w:name w:val="Date Char"/>
    <w:basedOn w:val="DefaultParagraphFont"/>
    <w:link w:val="Date"/>
    <w:semiHidden/>
    <w:rsid w:val="00322FCD"/>
    <w:rPr>
      <w:rFonts w:eastAsia="Times New Roman"/>
      <w:sz w:val="24"/>
      <w:szCs w:val="24"/>
      <w:lang w:val="en-US" w:eastAsia="en-US"/>
    </w:rPr>
  </w:style>
  <w:style w:type="paragraph" w:styleId="Index1">
    <w:name w:val="index 1"/>
    <w:basedOn w:val="Normal"/>
    <w:next w:val="Normal"/>
    <w:autoRedefine/>
    <w:semiHidden/>
    <w:rsid w:val="00322FC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22FC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22FC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22FC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22FC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22FC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22FC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22FC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22FCD"/>
    <w:pPr>
      <w:ind w:left="2160" w:hanging="240"/>
    </w:pPr>
  </w:style>
  <w:style w:type="paragraph" w:styleId="EnvelopeReturn">
    <w:name w:val="envelope return"/>
    <w:basedOn w:val="Normal"/>
    <w:semiHidden/>
    <w:rsid w:val="00322FCD"/>
    <w:rPr>
      <w:rFonts w:ascii="Arial" w:hAnsi="Arial" w:cs="Arial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322FCD"/>
    <w:pPr>
      <w:ind w:left="240" w:hanging="240"/>
    </w:pPr>
  </w:style>
  <w:style w:type="paragraph" w:styleId="MacroText">
    <w:name w:val="macro"/>
    <w:link w:val="MacroTextChar"/>
    <w:semiHidden/>
    <w:rsid w:val="00322F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322FCD"/>
    <w:rPr>
      <w:rFonts w:ascii="Courier New" w:eastAsia="Times New Roman" w:hAnsi="Courier New" w:cs="Courier New"/>
      <w:lang w:val="en-US" w:eastAsia="en-US"/>
    </w:rPr>
  </w:style>
  <w:style w:type="paragraph" w:styleId="HTMLAddress">
    <w:name w:val="HTML Address"/>
    <w:basedOn w:val="Normal"/>
    <w:link w:val="HTMLAddressChar"/>
    <w:semiHidden/>
    <w:rsid w:val="00322FC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22FCD"/>
    <w:rPr>
      <w:rFonts w:eastAsia="Times New Roman"/>
      <w:i/>
      <w:iCs/>
      <w:sz w:val="24"/>
      <w:szCs w:val="24"/>
      <w:lang w:val="en-US" w:eastAsia="en-US"/>
    </w:rPr>
  </w:style>
  <w:style w:type="character" w:styleId="Emphasis">
    <w:name w:val="Emphasis"/>
    <w:qFormat/>
    <w:rsid w:val="00322FCD"/>
    <w:rPr>
      <w:i/>
      <w:iCs/>
    </w:rPr>
  </w:style>
  <w:style w:type="numbering" w:styleId="ArticleSection">
    <w:name w:val="Outline List 3"/>
    <w:basedOn w:val="NoList"/>
    <w:semiHidden/>
    <w:rsid w:val="00322FCD"/>
    <w:pPr>
      <w:numPr>
        <w:numId w:val="7"/>
      </w:numPr>
    </w:pPr>
  </w:style>
  <w:style w:type="paragraph" w:customStyle="1" w:styleId="Stats">
    <w:name w:val="Stats"/>
    <w:rsid w:val="00322FCD"/>
    <w:rPr>
      <w:rFonts w:ascii="Courier New" w:eastAsia="Times New Roman" w:hAnsi="Courier New"/>
      <w:sz w:val="16"/>
      <w:szCs w:val="24"/>
      <w:lang w:eastAsia="en-US"/>
    </w:rPr>
  </w:style>
  <w:style w:type="character" w:customStyle="1" w:styleId="TextChar">
    <w:name w:val="Text Char"/>
    <w:link w:val="Text"/>
    <w:rsid w:val="00322FCD"/>
    <w:rPr>
      <w:rFonts w:eastAsia="Times New Roman"/>
      <w:sz w:val="24"/>
      <w:szCs w:val="24"/>
      <w:lang w:eastAsia="en-US"/>
    </w:rPr>
  </w:style>
  <w:style w:type="paragraph" w:customStyle="1" w:styleId="Authoringguidance">
    <w:name w:val="Authoring guidance"/>
    <w:basedOn w:val="Body"/>
    <w:next w:val="Text"/>
    <w:link w:val="AuthoringguidanceCar"/>
    <w:qFormat/>
    <w:rsid w:val="00322FCD"/>
    <w:rPr>
      <w:i/>
      <w:color w:val="FF0000"/>
    </w:rPr>
  </w:style>
  <w:style w:type="character" w:customStyle="1" w:styleId="AuthoringguidanceCar">
    <w:name w:val="Authoring guidance Car"/>
    <w:link w:val="Authoringguidance"/>
    <w:rsid w:val="00322FCD"/>
    <w:rPr>
      <w:rFonts w:eastAsia="Times New Roman"/>
      <w:i/>
      <w:color w:val="FF0000"/>
      <w:sz w:val="24"/>
      <w:szCs w:val="24"/>
      <w:lang w:eastAsia="en-US"/>
    </w:rPr>
  </w:style>
  <w:style w:type="character" w:customStyle="1" w:styleId="BodyTabChar">
    <w:name w:val="BodyTab Char"/>
    <w:link w:val="BodyTab"/>
    <w:locked/>
    <w:rsid w:val="00322FCD"/>
    <w:rPr>
      <w:rFonts w:eastAsia="Times New Roman"/>
      <w:lang w:eastAsia="en-US"/>
    </w:rPr>
  </w:style>
  <w:style w:type="character" w:customStyle="1" w:styleId="hilighti1">
    <w:name w:val="hilighti1"/>
    <w:rsid w:val="00322FCD"/>
    <w:rPr>
      <w:color w:val="FF0000"/>
      <w:u w:val="single"/>
    </w:rPr>
  </w:style>
  <w:style w:type="character" w:customStyle="1" w:styleId="bodytab-h1">
    <w:name w:val="bodytab-h1"/>
    <w:rsid w:val="00322FCD"/>
    <w:rPr>
      <w:rFonts w:ascii="Times New Roman" w:hAnsi="Times New Roman" w:cs="Times New Roman" w:hint="default"/>
      <w:sz w:val="20"/>
      <w:szCs w:val="20"/>
    </w:rPr>
  </w:style>
  <w:style w:type="character" w:customStyle="1" w:styleId="BodyCar">
    <w:name w:val="Body Car"/>
    <w:basedOn w:val="DefaultParagraphFont"/>
    <w:link w:val="Body"/>
    <w:rsid w:val="00322FCD"/>
    <w:rPr>
      <w:rFonts w:eastAsia="Times New Roman"/>
      <w:sz w:val="24"/>
      <w:szCs w:val="24"/>
      <w:lang w:eastAsia="en-US"/>
    </w:rPr>
  </w:style>
  <w:style w:type="paragraph" w:customStyle="1" w:styleId="Heading6">
    <w:name w:val="Heading_6"/>
    <w:basedOn w:val="Heading5"/>
    <w:next w:val="Body"/>
    <w:qFormat/>
    <w:rsid w:val="00322FCD"/>
    <w:pPr>
      <w:numPr>
        <w:ilvl w:val="5"/>
      </w:numPr>
      <w:tabs>
        <w:tab w:val="num" w:pos="1134"/>
      </w:tabs>
    </w:pPr>
    <w:rPr>
      <w:bCs/>
      <w:szCs w:val="22"/>
    </w:rPr>
  </w:style>
  <w:style w:type="paragraph" w:customStyle="1" w:styleId="Heading5">
    <w:name w:val="Heading_5"/>
    <w:basedOn w:val="Heading4"/>
    <w:next w:val="Body"/>
    <w:qFormat/>
    <w:rsid w:val="00322FCD"/>
    <w:pPr>
      <w:numPr>
        <w:ilvl w:val="4"/>
      </w:numPr>
      <w:tabs>
        <w:tab w:val="left" w:pos="936"/>
      </w:tabs>
      <w:outlineLvl w:val="9"/>
    </w:pPr>
    <w:rPr>
      <w:bCs w:val="0"/>
      <w:iCs/>
      <w:szCs w:val="26"/>
    </w:rPr>
  </w:style>
  <w:style w:type="table" w:styleId="TableGrid">
    <w:name w:val="Table Grid"/>
    <w:basedOn w:val="TableNormal"/>
    <w:uiPriority w:val="59"/>
    <w:rsid w:val="00322FCD"/>
    <w:rPr>
      <w:rFonts w:eastAsia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abHeader">
    <w:name w:val="BodyTabHeader"/>
    <w:basedOn w:val="BodyTab"/>
    <w:qFormat/>
    <w:rsid w:val="00322FCD"/>
    <w:pPr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322FCD"/>
    <w:rPr>
      <w:color w:val="808080"/>
    </w:rPr>
  </w:style>
  <w:style w:type="numbering" w:customStyle="1" w:styleId="AppendixList">
    <w:name w:val="AppendixList"/>
    <w:uiPriority w:val="99"/>
    <w:rsid w:val="00322FCD"/>
    <w:pPr>
      <w:numPr>
        <w:numId w:val="9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322FCD"/>
    <w:pPr>
      <w:tabs>
        <w:tab w:val="left" w:pos="907"/>
      </w:tabs>
      <w:spacing w:before="120" w:after="120"/>
      <w:jc w:val="center"/>
    </w:pPr>
    <w:rPr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322FCD"/>
    <w:rPr>
      <w:rFonts w:eastAsia="Times New Roman"/>
      <w:iCs/>
      <w:color w:val="404040" w:themeColor="text1" w:themeTint="BF"/>
      <w:szCs w:val="24"/>
      <w:lang w:val="en-US" w:eastAsia="en-US"/>
    </w:rPr>
  </w:style>
  <w:style w:type="paragraph" w:customStyle="1" w:styleId="BulletList2">
    <w:name w:val="Bullet List 2"/>
    <w:basedOn w:val="BulletList1"/>
    <w:rsid w:val="00322FCD"/>
    <w:pPr>
      <w:ind w:left="1560"/>
    </w:pPr>
    <w:rPr>
      <w:sz w:val="24"/>
    </w:rPr>
  </w:style>
  <w:style w:type="paragraph" w:customStyle="1" w:styleId="Bulletlist3">
    <w:name w:val="Bullet list 3"/>
    <w:basedOn w:val="BulletList2"/>
    <w:rsid w:val="00322FCD"/>
    <w:pPr>
      <w:ind w:left="2013"/>
    </w:pPr>
  </w:style>
  <w:style w:type="paragraph" w:customStyle="1" w:styleId="ReferenceList">
    <w:name w:val="Reference List"/>
    <w:basedOn w:val="Body"/>
    <w:autoRedefine/>
    <w:rsid w:val="00322FCD"/>
    <w:pPr>
      <w:numPr>
        <w:numId w:val="1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322FCD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szCs w:val="32"/>
      <w:lang w:val="fr-FR" w:eastAsia="fr-FR"/>
    </w:rPr>
  </w:style>
  <w:style w:type="paragraph" w:styleId="Revision">
    <w:name w:val="Revision"/>
    <w:hidden/>
    <w:uiPriority w:val="99"/>
    <w:semiHidden/>
    <w:rsid w:val="00507336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ukl.cz/nahlasit-nezadouci-ucinek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p23667.IPSEN-GROUP\AppData\Roaming\Microsoft\Templates\Gen014-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36E4E2C9A864A8E68A66A6EDA95AF" ma:contentTypeVersion="12" ma:contentTypeDescription="Create a new document." ma:contentTypeScope="" ma:versionID="6396e0aeb88ea696eedcd4e475471480">
  <xsd:schema xmlns:xsd="http://www.w3.org/2001/XMLSchema" xmlns:xs="http://www.w3.org/2001/XMLSchema" xmlns:p="http://schemas.microsoft.com/office/2006/metadata/properties" xmlns:ns3="0d30bb89-d3f0-4fcb-9b61-1d0ca31065bc" xmlns:ns4="1b1f806e-3752-43e2-8c7f-e4b9beff1039" targetNamespace="http://schemas.microsoft.com/office/2006/metadata/properties" ma:root="true" ma:fieldsID="36c2fff0508be932be2dfc582bbaa7d1" ns3:_="" ns4:_="">
    <xsd:import namespace="0d30bb89-d3f0-4fcb-9b61-1d0ca31065bc"/>
    <xsd:import namespace="1b1f806e-3752-43e2-8c7f-e4b9beff10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0bb89-d3f0-4fcb-9b61-1d0ca31065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f806e-3752-43e2-8c7f-e4b9beff1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4667D-F191-40E0-8B07-148BC1A03BCE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1b1f806e-3752-43e2-8c7f-e4b9beff1039"/>
    <ds:schemaRef ds:uri="0d30bb89-d3f0-4fcb-9b61-1d0ca31065b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D58C556-4248-4879-832E-928F99862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69463-1F22-4AF1-9325-76E01BA15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0bb89-d3f0-4fcb-9b61-1d0ca31065bc"/>
    <ds:schemaRef ds:uri="1b1f806e-3752-43e2-8c7f-e4b9beff1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123F19-CCE5-4DD3-B838-05722AB5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Gen014-A</Template>
  <TotalTime>0</TotalTime>
  <Pages>9</Pages>
  <Words>2901</Words>
  <Characters>16537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Hqrdtemplateclean_cs</vt:lpstr>
      <vt:lpstr>Hqrdtemplateclean_cs</vt:lpstr>
    </vt:vector>
  </TitlesOfParts>
  <Company>Translation Centre</Company>
  <LinksUpToDate>false</LinksUpToDate>
  <CharactersWithSpaces>19400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Hqrdtemplateclean_cs</dc:title>
  <dc:creator>European Medicines Agency</dc:creator>
  <cp:lastModifiedBy>Daniela</cp:lastModifiedBy>
  <cp:revision>2</cp:revision>
  <cp:lastPrinted>2019-05-14T07:05:00Z</cp:lastPrinted>
  <dcterms:created xsi:type="dcterms:W3CDTF">2021-09-07T14:07:00Z</dcterms:created>
  <dcterms:modified xsi:type="dcterms:W3CDTF">2021-09-07T14:07:00Z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Templates and Form</vt:lpwstr>
  </property>
  <property fmtid="{D5CDD505-2E9C-101B-9397-08002B2CF9AE}" pid="6" name="DM_Creation_Date">
    <vt:lpwstr>27/11/2020 19:26:04</vt:lpwstr>
  </property>
  <property fmtid="{D5CDD505-2E9C-101B-9397-08002B2CF9AE}" pid="7" name="DM_Creator_Name">
    <vt:lpwstr>Akhtar Timea</vt:lpwstr>
  </property>
  <property fmtid="{D5CDD505-2E9C-101B-9397-08002B2CF9AE}" pid="8" name="DM_DocRefId">
    <vt:lpwstr>EMA/645120/2020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423415</vt:lpwstr>
  </property>
  <property fmtid="{D5CDD505-2E9C-101B-9397-08002B2CF9AE}" pid="14" name="DM_emea_doc_ref_id">
    <vt:lpwstr>EMA/645120/2020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Akhtar Timea</vt:lpwstr>
  </property>
  <property fmtid="{D5CDD505-2E9C-101B-9397-08002B2CF9AE}" pid="34" name="DM_Modified_Date">
    <vt:lpwstr>30/11/2020 10:40:30</vt:lpwstr>
  </property>
  <property fmtid="{D5CDD505-2E9C-101B-9397-08002B2CF9AE}" pid="35" name="DM_Modifier_Name">
    <vt:lpwstr>Akhtar Timea</vt:lpwstr>
  </property>
  <property fmtid="{D5CDD505-2E9C-101B-9397-08002B2CF9AE}" pid="36" name="DM_Modify_Date">
    <vt:lpwstr>30/11/2020 10:40:30</vt:lpwstr>
  </property>
  <property fmtid="{D5CDD505-2E9C-101B-9397-08002B2CF9AE}" pid="37" name="DM_Name">
    <vt:lpwstr>Hqrdtemplateclean_cs</vt:lpwstr>
  </property>
  <property fmtid="{D5CDD505-2E9C-101B-9397-08002B2CF9AE}" pid="38" name="DM_Owner">
    <vt:lpwstr>Espinasse Claire</vt:lpwstr>
  </property>
  <property fmtid="{D5CDD505-2E9C-101B-9397-08002B2CF9AE}" pid="39" name="DM_Path">
    <vt:lpwstr>/02b. Administration of Scientific Meeting/WPs SAGs DGs and other WGs/CxMP - QRD/3. Other activities/02. Procedures/01. QRD PI templates/01 QRD Human Templates/08 H-qrd template v10.2 (Brexit)/Final clean for publication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1.0,CURRENT</vt:lpwstr>
  </property>
  <property fmtid="{D5CDD505-2E9C-101B-9397-08002B2CF9AE}" pid="45" name="MSIP_Label_0eea11ca-d417-4147-80ed-01a58412c458_ActionId">
    <vt:lpwstr>4bb9b8c6-d01d-4e1a-82d0-a5a021434e29</vt:lpwstr>
  </property>
  <property fmtid="{D5CDD505-2E9C-101B-9397-08002B2CF9AE}" pid="46" name="MSIP_Label_0eea11ca-d417-4147-80ed-01a58412c458_Application">
    <vt:lpwstr>Microsoft Azure Information Protection</vt:lpwstr>
  </property>
  <property fmtid="{D5CDD505-2E9C-101B-9397-08002B2CF9AE}" pid="47" name="MSIP_Label_0eea11ca-d417-4147-80ed-01a58412c458_Enabled">
    <vt:lpwstr>True</vt:lpwstr>
  </property>
  <property fmtid="{D5CDD505-2E9C-101B-9397-08002B2CF9AE}" pid="48" name="MSIP_Label_0eea11ca-d417-4147-80ed-01a58412c458_Extended_MSFT_Method">
    <vt:lpwstr>Automatic</vt:lpwstr>
  </property>
  <property fmtid="{D5CDD505-2E9C-101B-9397-08002B2CF9AE}" pid="49" name="MSIP_Label_0eea11ca-d417-4147-80ed-01a58412c458_Name">
    <vt:lpwstr>All EMA Staff and Contractors</vt:lpwstr>
  </property>
  <property fmtid="{D5CDD505-2E9C-101B-9397-08002B2CF9AE}" pid="50" name="MSIP_Label_0eea11ca-d417-4147-80ed-01a58412c458_Owner">
    <vt:lpwstr>tia.akhtar@ema.europa.eu</vt:lpwstr>
  </property>
  <property fmtid="{D5CDD505-2E9C-101B-9397-08002B2CF9AE}" pid="51" name="MSIP_Label_0eea11ca-d417-4147-80ed-01a58412c458_Parent">
    <vt:lpwstr>afe1b31d-cec0-4074-b4bd-f07689e43d84</vt:lpwstr>
  </property>
  <property fmtid="{D5CDD505-2E9C-101B-9397-08002B2CF9AE}" pid="52" name="MSIP_Label_0eea11ca-d417-4147-80ed-01a58412c458_SetDate">
    <vt:lpwstr>2020-11-27T17:33:33.9309690Z</vt:lpwstr>
  </property>
  <property fmtid="{D5CDD505-2E9C-101B-9397-08002B2CF9AE}" pid="53" name="MSIP_Label_0eea11ca-d417-4147-80ed-01a58412c458_SiteId">
    <vt:lpwstr>bc9dc15c-61bc-4f03-b60b-e5b6d8922839</vt:lpwstr>
  </property>
  <property fmtid="{D5CDD505-2E9C-101B-9397-08002B2CF9AE}" pid="54" name="MSIP_Label_afe1b31d-cec0-4074-b4bd-f07689e43d84_ActionId">
    <vt:lpwstr>4bb9b8c6-d01d-4e1a-82d0-a5a021434e29</vt:lpwstr>
  </property>
  <property fmtid="{D5CDD505-2E9C-101B-9397-08002B2CF9AE}" pid="55" name="MSIP_Label_afe1b31d-cec0-4074-b4bd-f07689e43d84_Application">
    <vt:lpwstr>Microsoft Azure Information Protection</vt:lpwstr>
  </property>
  <property fmtid="{D5CDD505-2E9C-101B-9397-08002B2CF9AE}" pid="56" name="MSIP_Label_afe1b31d-cec0-4074-b4bd-f07689e43d84_Enabled">
    <vt:lpwstr>True</vt:lpwstr>
  </property>
  <property fmtid="{D5CDD505-2E9C-101B-9397-08002B2CF9AE}" pid="57" name="MSIP_Label_afe1b31d-cec0-4074-b4bd-f07689e43d84_Extended_MSFT_Method">
    <vt:lpwstr>Automatic</vt:lpwstr>
  </property>
  <property fmtid="{D5CDD505-2E9C-101B-9397-08002B2CF9AE}" pid="58" name="MSIP_Label_afe1b31d-cec0-4074-b4bd-f07689e43d84_Name">
    <vt:lpwstr>Internal</vt:lpwstr>
  </property>
  <property fmtid="{D5CDD505-2E9C-101B-9397-08002B2CF9AE}" pid="59" name="MSIP_Label_afe1b31d-cec0-4074-b4bd-f07689e43d84_Owner">
    <vt:lpwstr>tia.akhtar@ema.europa.eu</vt:lpwstr>
  </property>
  <property fmtid="{D5CDD505-2E9C-101B-9397-08002B2CF9AE}" pid="60" name="MSIP_Label_afe1b31d-cec0-4074-b4bd-f07689e43d84_SetDate">
    <vt:lpwstr>2020-11-27T17:33:33.9309690Z</vt:lpwstr>
  </property>
  <property fmtid="{D5CDD505-2E9C-101B-9397-08002B2CF9AE}" pid="61" name="MSIP_Label_afe1b31d-cec0-4074-b4bd-f07689e43d84_SiteId">
    <vt:lpwstr>bc9dc15c-61bc-4f03-b60b-e5b6d8922839</vt:lpwstr>
  </property>
  <property fmtid="{D5CDD505-2E9C-101B-9397-08002B2CF9AE}" pid="62" name="ContentTypeId">
    <vt:lpwstr>0x010100D6936E4E2C9A864A8E68A66A6EDA95AF</vt:lpwstr>
  </property>
</Properties>
</file>